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5F40" w:rsidRPr="00B07FB9" w:rsidRDefault="004943C7" w:rsidP="00B07FB9">
      <w:pPr>
        <w:spacing w:line="276" w:lineRule="auto"/>
        <w:jc w:val="center"/>
        <w:rPr>
          <w:b/>
          <w:color w:val="262626" w:themeColor="text1" w:themeTint="D9"/>
          <w:sz w:val="28"/>
          <w:szCs w:val="28"/>
        </w:rPr>
      </w:pPr>
      <w:r>
        <w:rPr>
          <w:b/>
          <w:color w:val="262626" w:themeColor="text1" w:themeTint="D9"/>
          <w:sz w:val="28"/>
          <w:szCs w:val="28"/>
        </w:rPr>
        <w:t>How to utilize the “</w:t>
      </w:r>
      <w:r w:rsidR="00B07FB9" w:rsidRPr="00B07FB9">
        <w:rPr>
          <w:b/>
          <w:color w:val="262626" w:themeColor="text1" w:themeTint="D9"/>
          <w:sz w:val="28"/>
          <w:szCs w:val="28"/>
        </w:rPr>
        <w:t>Index Bias Correction” feature on the Vista</w:t>
      </w:r>
    </w:p>
    <w:p w:rsidR="00B07FB9" w:rsidRPr="00B07FB9" w:rsidRDefault="00B07FB9" w:rsidP="00B07FB9">
      <w:pPr>
        <w:spacing w:line="276" w:lineRule="auto"/>
        <w:jc w:val="center"/>
        <w:rPr>
          <w:b/>
          <w:color w:val="262626" w:themeColor="text1" w:themeTint="D9"/>
        </w:rPr>
      </w:pPr>
    </w:p>
    <w:p w:rsidR="00B07FB9" w:rsidRDefault="00B07FB9" w:rsidP="005A2685">
      <w:pPr>
        <w:spacing w:line="276" w:lineRule="auto"/>
        <w:rPr>
          <w:b/>
          <w:color w:val="262626" w:themeColor="text1" w:themeTint="D9"/>
        </w:rPr>
      </w:pPr>
      <w:r>
        <w:rPr>
          <w:b/>
          <w:color w:val="262626" w:themeColor="text1" w:themeTint="D9"/>
        </w:rPr>
        <w:t>Background</w:t>
      </w:r>
      <w:r w:rsidR="009B757D">
        <w:rPr>
          <w:b/>
          <w:color w:val="262626" w:themeColor="text1" w:themeTint="D9"/>
        </w:rPr>
        <w:t>:</w:t>
      </w:r>
    </w:p>
    <w:p w:rsidR="009B757D" w:rsidRDefault="00137A76" w:rsidP="005A2685">
      <w:pPr>
        <w:spacing w:line="276" w:lineRule="auto"/>
        <w:rPr>
          <w:color w:val="262626" w:themeColor="text1" w:themeTint="D9"/>
        </w:rPr>
      </w:pPr>
      <w:r>
        <w:rPr>
          <w:color w:val="262626" w:themeColor="text1" w:themeTint="D9"/>
        </w:rPr>
        <w:t>Color i</w:t>
      </w:r>
      <w:r w:rsidR="004943C7">
        <w:rPr>
          <w:color w:val="262626" w:themeColor="text1" w:themeTint="D9"/>
        </w:rPr>
        <w:t xml:space="preserve">ndices such as APHA, </w:t>
      </w:r>
      <w:r w:rsidR="009B757D">
        <w:rPr>
          <w:color w:val="262626" w:themeColor="text1" w:themeTint="D9"/>
        </w:rPr>
        <w:t>EP</w:t>
      </w:r>
      <w:r w:rsidR="004943C7">
        <w:rPr>
          <w:color w:val="262626" w:themeColor="text1" w:themeTint="D9"/>
        </w:rPr>
        <w:t>,</w:t>
      </w:r>
      <w:r w:rsidR="00F14E96">
        <w:rPr>
          <w:color w:val="262626" w:themeColor="text1" w:themeTint="D9"/>
        </w:rPr>
        <w:t xml:space="preserve"> Gardner, </w:t>
      </w:r>
      <w:r w:rsidR="004943C7">
        <w:rPr>
          <w:color w:val="262626" w:themeColor="text1" w:themeTint="D9"/>
        </w:rPr>
        <w:t>haze, and turbidity</w:t>
      </w:r>
      <w:r w:rsidR="009B757D">
        <w:rPr>
          <w:color w:val="262626" w:themeColor="text1" w:themeTint="D9"/>
        </w:rPr>
        <w:t xml:space="preserve"> are based on physical standards that are often produced by third-party manufacturer</w:t>
      </w:r>
      <w:r w:rsidR="00222E84">
        <w:rPr>
          <w:color w:val="262626" w:themeColor="text1" w:themeTint="D9"/>
        </w:rPr>
        <w:t>s</w:t>
      </w:r>
      <w:r w:rsidR="009B757D">
        <w:rPr>
          <w:color w:val="262626" w:themeColor="text1" w:themeTint="D9"/>
        </w:rPr>
        <w:t xml:space="preserve"> and can vary from batch to batch.  Additionally, variations in sample cells and sample cell types make absolute </w:t>
      </w:r>
      <w:r w:rsidR="000C5906">
        <w:rPr>
          <w:color w:val="262626" w:themeColor="text1" w:themeTint="D9"/>
        </w:rPr>
        <w:t xml:space="preserve">instrument </w:t>
      </w:r>
      <w:r w:rsidR="009B757D">
        <w:rPr>
          <w:color w:val="262626" w:themeColor="text1" w:themeTint="D9"/>
        </w:rPr>
        <w:t>reading</w:t>
      </w:r>
      <w:r w:rsidR="00222E84">
        <w:rPr>
          <w:color w:val="262626" w:themeColor="text1" w:themeTint="D9"/>
        </w:rPr>
        <w:t>s</w:t>
      </w:r>
      <w:r w:rsidR="009B757D">
        <w:rPr>
          <w:color w:val="262626" w:themeColor="text1" w:themeTint="D9"/>
        </w:rPr>
        <w:t xml:space="preserve"> often variable, even when the user standardizes the instrument with their specific sample cell type.</w:t>
      </w:r>
    </w:p>
    <w:p w:rsidR="009B757D" w:rsidRDefault="009B757D" w:rsidP="005A2685">
      <w:pPr>
        <w:spacing w:line="276" w:lineRule="auto"/>
        <w:rPr>
          <w:color w:val="262626" w:themeColor="text1" w:themeTint="D9"/>
        </w:rPr>
      </w:pPr>
    </w:p>
    <w:p w:rsidR="009B757D" w:rsidRDefault="009B757D" w:rsidP="005A2685">
      <w:pPr>
        <w:spacing w:line="276" w:lineRule="auto"/>
        <w:rPr>
          <w:color w:val="262626" w:themeColor="text1" w:themeTint="D9"/>
        </w:rPr>
      </w:pPr>
      <w:r>
        <w:rPr>
          <w:color w:val="262626" w:themeColor="text1" w:themeTint="D9"/>
        </w:rPr>
        <w:t>With these challenges in mind, end users often cannot achieve the absolute reading agreeme</w:t>
      </w:r>
      <w:r w:rsidR="000C5906">
        <w:rPr>
          <w:color w:val="262626" w:themeColor="text1" w:themeTint="D9"/>
        </w:rPr>
        <w:t>nt with physical standards that they desire.  However, for instruments that are shown to be in proper working order through applicable diagnostics software, it is acceptable to adjust instrumental reported values to better agree with traceable physical standards.</w:t>
      </w:r>
    </w:p>
    <w:p w:rsidR="000C5906" w:rsidRDefault="000C5906" w:rsidP="005A2685">
      <w:pPr>
        <w:spacing w:line="276" w:lineRule="auto"/>
        <w:rPr>
          <w:color w:val="262626" w:themeColor="text1" w:themeTint="D9"/>
        </w:rPr>
      </w:pPr>
    </w:p>
    <w:p w:rsidR="009B757D" w:rsidRPr="00F9117E" w:rsidRDefault="00137A76" w:rsidP="009B757D">
      <w:pPr>
        <w:spacing w:line="276" w:lineRule="auto"/>
        <w:rPr>
          <w:color w:val="262626" w:themeColor="text1" w:themeTint="D9"/>
        </w:rPr>
      </w:pPr>
      <w:r w:rsidRPr="00137A76">
        <w:rPr>
          <w:color w:val="262626" w:themeColor="text1" w:themeTint="D9"/>
          <w:u w:val="single"/>
        </w:rPr>
        <w:t>Example:</w:t>
      </w:r>
      <w:r>
        <w:rPr>
          <w:color w:val="262626" w:themeColor="text1" w:themeTint="D9"/>
        </w:rPr>
        <w:t xml:space="preserve">  A user</w:t>
      </w:r>
      <w:r w:rsidR="009B757D" w:rsidRPr="00F9117E">
        <w:rPr>
          <w:color w:val="262626" w:themeColor="text1" w:themeTint="D9"/>
        </w:rPr>
        <w:t xml:space="preserve"> cannot achieve results that match the APHA stan</w:t>
      </w:r>
      <w:r w:rsidR="000C5906">
        <w:rPr>
          <w:color w:val="262626" w:themeColor="text1" w:themeTint="D9"/>
        </w:rPr>
        <w:t>dards that they have purchased</w:t>
      </w:r>
      <w:r>
        <w:rPr>
          <w:color w:val="262626" w:themeColor="text1" w:themeTint="D9"/>
        </w:rPr>
        <w:t xml:space="preserve">.  </w:t>
      </w:r>
      <w:r w:rsidR="000C5906">
        <w:rPr>
          <w:color w:val="262626" w:themeColor="text1" w:themeTint="D9"/>
        </w:rPr>
        <w:t>In this example</w:t>
      </w:r>
      <w:r w:rsidR="00AE4664">
        <w:rPr>
          <w:color w:val="262626" w:themeColor="text1" w:themeTint="D9"/>
        </w:rPr>
        <w:t>,</w:t>
      </w:r>
      <w:r w:rsidR="000C5906">
        <w:rPr>
          <w:color w:val="262626" w:themeColor="text1" w:themeTint="D9"/>
        </w:rPr>
        <w:t xml:space="preserve"> the </w:t>
      </w:r>
      <w:r w:rsidR="009B757D" w:rsidRPr="00F9117E">
        <w:rPr>
          <w:color w:val="262626" w:themeColor="text1" w:themeTint="D9"/>
        </w:rPr>
        <w:t xml:space="preserve">APHA 2 standard is measuring APHA </w:t>
      </w:r>
      <w:r w:rsidR="000C5906">
        <w:rPr>
          <w:color w:val="262626" w:themeColor="text1" w:themeTint="D9"/>
        </w:rPr>
        <w:t xml:space="preserve">2.4 and the APHA 10 standard is measuring APHA 10.6.  The instrument was validated to be in proper working order by performing the recommended diagnostic tests on the unit. </w:t>
      </w:r>
      <w:r w:rsidR="00AE4664">
        <w:rPr>
          <w:color w:val="262626" w:themeColor="text1" w:themeTint="D9"/>
        </w:rPr>
        <w:t xml:space="preserve">Based on additional validation testing it appears that </w:t>
      </w:r>
      <w:r w:rsidR="009B757D" w:rsidRPr="00F9117E">
        <w:rPr>
          <w:color w:val="262626" w:themeColor="text1" w:themeTint="D9"/>
        </w:rPr>
        <w:t xml:space="preserve">the measurement deviation is attributed to sample handling variations that cannot </w:t>
      </w:r>
      <w:r w:rsidR="00AE4664">
        <w:rPr>
          <w:color w:val="262626" w:themeColor="text1" w:themeTint="D9"/>
        </w:rPr>
        <w:t xml:space="preserve">be directly </w:t>
      </w:r>
      <w:r w:rsidR="009B757D" w:rsidRPr="00F9117E">
        <w:rPr>
          <w:color w:val="262626" w:themeColor="text1" w:themeTint="D9"/>
        </w:rPr>
        <w:t>control</w:t>
      </w:r>
      <w:r w:rsidR="00AE4664">
        <w:rPr>
          <w:color w:val="262626" w:themeColor="text1" w:themeTint="D9"/>
        </w:rPr>
        <w:t>led</w:t>
      </w:r>
      <w:r w:rsidR="009B757D" w:rsidRPr="00F9117E">
        <w:rPr>
          <w:color w:val="262626" w:themeColor="text1" w:themeTint="D9"/>
        </w:rPr>
        <w:t xml:space="preserve"> at the factory.</w:t>
      </w:r>
    </w:p>
    <w:p w:rsidR="009B757D" w:rsidRPr="009B757D" w:rsidRDefault="009B757D" w:rsidP="005A2685">
      <w:pPr>
        <w:spacing w:line="276" w:lineRule="auto"/>
        <w:rPr>
          <w:color w:val="262626" w:themeColor="text1" w:themeTint="D9"/>
        </w:rPr>
      </w:pPr>
    </w:p>
    <w:p w:rsidR="00B07FB9" w:rsidRDefault="00137A76" w:rsidP="005A2685">
      <w:pPr>
        <w:spacing w:line="276" w:lineRule="auto"/>
        <w:rPr>
          <w:b/>
          <w:color w:val="262626" w:themeColor="text1" w:themeTint="D9"/>
        </w:rPr>
      </w:pPr>
      <w:r>
        <w:rPr>
          <w:b/>
          <w:color w:val="262626" w:themeColor="text1" w:themeTint="D9"/>
        </w:rPr>
        <w:t>Solution:</w:t>
      </w:r>
    </w:p>
    <w:p w:rsidR="0025222A" w:rsidRDefault="0025222A" w:rsidP="005A2685">
      <w:pPr>
        <w:spacing w:line="276" w:lineRule="auto"/>
        <w:rPr>
          <w:color w:val="262626" w:themeColor="text1" w:themeTint="D9"/>
        </w:rPr>
      </w:pPr>
      <w:r>
        <w:rPr>
          <w:color w:val="262626" w:themeColor="text1" w:themeTint="D9"/>
        </w:rPr>
        <w:t xml:space="preserve">HunterLab has introduced in its Vista product via EasyMatch Essentials software, a measurement correction algorithm that allows the user to adjust the instrument’s base performance via a Bias and Gain correction to precisely match reported results to assigned values for physical standards.  </w:t>
      </w:r>
    </w:p>
    <w:p w:rsidR="0025222A" w:rsidRDefault="0025222A" w:rsidP="005A2685">
      <w:pPr>
        <w:spacing w:line="276" w:lineRule="auto"/>
        <w:rPr>
          <w:color w:val="262626" w:themeColor="text1" w:themeTint="D9"/>
        </w:rPr>
      </w:pPr>
    </w:p>
    <w:p w:rsidR="00137A76" w:rsidRDefault="0025222A" w:rsidP="005A2685">
      <w:pPr>
        <w:spacing w:line="276" w:lineRule="auto"/>
        <w:rPr>
          <w:color w:val="262626" w:themeColor="text1" w:themeTint="D9"/>
        </w:rPr>
      </w:pPr>
      <w:r>
        <w:rPr>
          <w:color w:val="262626" w:themeColor="text1" w:themeTint="D9"/>
        </w:rPr>
        <w:t xml:space="preserve">The </w:t>
      </w:r>
      <w:proofErr w:type="gramStart"/>
      <w:r>
        <w:rPr>
          <w:color w:val="262626" w:themeColor="text1" w:themeTint="D9"/>
        </w:rPr>
        <w:t>Y(</w:t>
      </w:r>
      <w:proofErr w:type="gramEnd"/>
      <w:r w:rsidRPr="0025222A">
        <w:rPr>
          <w:i/>
          <w:color w:val="262626" w:themeColor="text1" w:themeTint="D9"/>
        </w:rPr>
        <w:t xml:space="preserve">adjusted </w:t>
      </w:r>
      <w:r>
        <w:rPr>
          <w:i/>
          <w:color w:val="262626" w:themeColor="text1" w:themeTint="D9"/>
        </w:rPr>
        <w:t xml:space="preserve">Index </w:t>
      </w:r>
      <w:r w:rsidRPr="0025222A">
        <w:rPr>
          <w:i/>
          <w:color w:val="262626" w:themeColor="text1" w:themeTint="D9"/>
        </w:rPr>
        <w:t>value</w:t>
      </w:r>
      <w:r>
        <w:rPr>
          <w:color w:val="262626" w:themeColor="text1" w:themeTint="D9"/>
        </w:rPr>
        <w:t>)=m(</w:t>
      </w:r>
      <w:r w:rsidRPr="0025222A">
        <w:rPr>
          <w:i/>
          <w:color w:val="262626" w:themeColor="text1" w:themeTint="D9"/>
        </w:rPr>
        <w:t>gain</w:t>
      </w:r>
      <w:r>
        <w:rPr>
          <w:color w:val="262626" w:themeColor="text1" w:themeTint="D9"/>
        </w:rPr>
        <w:t>)*uncorrected Index Value + offset (</w:t>
      </w:r>
      <w:r w:rsidRPr="0025222A">
        <w:rPr>
          <w:i/>
          <w:color w:val="262626" w:themeColor="text1" w:themeTint="D9"/>
        </w:rPr>
        <w:t>bias</w:t>
      </w:r>
      <w:r>
        <w:rPr>
          <w:color w:val="262626" w:themeColor="text1" w:themeTint="D9"/>
        </w:rPr>
        <w:t>) equation allows the end user to correct reported values using standard sets numbering just one value to many.</w:t>
      </w:r>
    </w:p>
    <w:p w:rsidR="0025222A" w:rsidRPr="0025222A" w:rsidRDefault="0025222A" w:rsidP="005A2685">
      <w:pPr>
        <w:spacing w:line="276" w:lineRule="auto"/>
        <w:rPr>
          <w:color w:val="262626" w:themeColor="text1" w:themeTint="D9"/>
        </w:rPr>
      </w:pPr>
    </w:p>
    <w:p w:rsidR="00E25F40" w:rsidRDefault="001E003E" w:rsidP="005A2685">
      <w:pPr>
        <w:spacing w:line="276" w:lineRule="auto"/>
        <w:rPr>
          <w:b/>
          <w:color w:val="262626" w:themeColor="text1" w:themeTint="D9"/>
        </w:rPr>
      </w:pPr>
      <w:r w:rsidRPr="00F9117E">
        <w:rPr>
          <w:b/>
          <w:color w:val="262626" w:themeColor="text1" w:themeTint="D9"/>
        </w:rPr>
        <w:t xml:space="preserve">Implementation </w:t>
      </w:r>
      <w:r w:rsidR="0025222A">
        <w:rPr>
          <w:b/>
          <w:color w:val="262626" w:themeColor="text1" w:themeTint="D9"/>
        </w:rPr>
        <w:t>of Solution</w:t>
      </w:r>
      <w:r w:rsidRPr="00F9117E">
        <w:rPr>
          <w:b/>
          <w:color w:val="262626" w:themeColor="text1" w:themeTint="D9"/>
        </w:rPr>
        <w:t>:</w:t>
      </w:r>
    </w:p>
    <w:p w:rsidR="0025222A" w:rsidRPr="0025222A" w:rsidRDefault="0025222A" w:rsidP="005A2685">
      <w:pPr>
        <w:spacing w:line="276" w:lineRule="auto"/>
        <w:rPr>
          <w:color w:val="262626" w:themeColor="text1" w:themeTint="D9"/>
        </w:rPr>
      </w:pPr>
      <w:r w:rsidRPr="0025222A">
        <w:rPr>
          <w:color w:val="262626" w:themeColor="text1" w:themeTint="D9"/>
        </w:rPr>
        <w:t>Using EasyMatch Essentials software embedded operating system of the Vista:</w:t>
      </w:r>
    </w:p>
    <w:p w:rsidR="001E003E" w:rsidRPr="00F9117E" w:rsidRDefault="001E003E" w:rsidP="005A2685">
      <w:pPr>
        <w:pStyle w:val="ListParagraph"/>
        <w:numPr>
          <w:ilvl w:val="0"/>
          <w:numId w:val="11"/>
        </w:numPr>
        <w:spacing w:line="276" w:lineRule="auto"/>
        <w:rPr>
          <w:color w:val="262626" w:themeColor="text1" w:themeTint="D9"/>
        </w:rPr>
      </w:pPr>
      <w:r w:rsidRPr="00F9117E">
        <w:rPr>
          <w:color w:val="262626" w:themeColor="text1" w:themeTint="D9"/>
        </w:rPr>
        <w:t xml:space="preserve">An option </w:t>
      </w:r>
      <w:r w:rsidRPr="00F9117E">
        <w:rPr>
          <w:i/>
          <w:color w:val="262626" w:themeColor="text1" w:themeTint="D9"/>
        </w:rPr>
        <w:t>“Index Bias Correction”</w:t>
      </w:r>
      <w:r w:rsidRPr="00F9117E">
        <w:rPr>
          <w:color w:val="262626" w:themeColor="text1" w:themeTint="D9"/>
        </w:rPr>
        <w:t xml:space="preserve"> is provided in </w:t>
      </w:r>
      <w:r w:rsidRPr="00F9117E">
        <w:rPr>
          <w:i/>
          <w:color w:val="262626" w:themeColor="text1" w:themeTint="D9"/>
        </w:rPr>
        <w:t>Read Options</w:t>
      </w:r>
      <w:r w:rsidRPr="00F9117E">
        <w:rPr>
          <w:color w:val="262626" w:themeColor="text1" w:themeTint="D9"/>
        </w:rPr>
        <w:t xml:space="preserve"> dialog.</w:t>
      </w:r>
    </w:p>
    <w:p w:rsidR="001E003E" w:rsidRPr="00F9117E" w:rsidRDefault="001E003E" w:rsidP="005A2685">
      <w:pPr>
        <w:pStyle w:val="ListParagraph"/>
        <w:numPr>
          <w:ilvl w:val="0"/>
          <w:numId w:val="11"/>
        </w:numPr>
        <w:spacing w:line="276" w:lineRule="auto"/>
        <w:rPr>
          <w:color w:val="262626" w:themeColor="text1" w:themeTint="D9"/>
        </w:rPr>
      </w:pPr>
      <w:r w:rsidRPr="00F9117E">
        <w:rPr>
          <w:color w:val="262626" w:themeColor="text1" w:themeTint="D9"/>
        </w:rPr>
        <w:t xml:space="preserve">When the option </w:t>
      </w:r>
      <w:r w:rsidRPr="00F9117E">
        <w:rPr>
          <w:i/>
          <w:iCs/>
          <w:color w:val="262626" w:themeColor="text1" w:themeTint="D9"/>
        </w:rPr>
        <w:t>“Index Bias Correction”</w:t>
      </w:r>
      <w:r w:rsidRPr="00F9117E">
        <w:rPr>
          <w:color w:val="262626" w:themeColor="text1" w:themeTint="D9"/>
        </w:rPr>
        <w:t xml:space="preserve"> is checked, the application provides an option to </w:t>
      </w:r>
      <w:r w:rsidRPr="00F9117E">
        <w:rPr>
          <w:i/>
          <w:iCs/>
          <w:color w:val="262626" w:themeColor="text1" w:themeTint="D9"/>
        </w:rPr>
        <w:t>Configure</w:t>
      </w:r>
      <w:r w:rsidRPr="00F9117E">
        <w:rPr>
          <w:color w:val="262626" w:themeColor="text1" w:themeTint="D9"/>
        </w:rPr>
        <w:t xml:space="preserve"> and store the </w:t>
      </w:r>
      <w:r w:rsidRPr="00F9117E">
        <w:rPr>
          <w:i/>
          <w:iCs/>
          <w:color w:val="262626" w:themeColor="text1" w:themeTint="D9"/>
        </w:rPr>
        <w:t>Gain</w:t>
      </w:r>
      <w:r w:rsidRPr="00F9117E">
        <w:rPr>
          <w:color w:val="262626" w:themeColor="text1" w:themeTint="D9"/>
        </w:rPr>
        <w:t xml:space="preserve"> and </w:t>
      </w:r>
      <w:r w:rsidRPr="00F9117E">
        <w:rPr>
          <w:i/>
          <w:iCs/>
          <w:color w:val="262626" w:themeColor="text1" w:themeTint="D9"/>
        </w:rPr>
        <w:t>Bias</w:t>
      </w:r>
      <w:r w:rsidRPr="00F9117E">
        <w:rPr>
          <w:color w:val="262626" w:themeColor="text1" w:themeTint="D9"/>
        </w:rPr>
        <w:t xml:space="preserve"> values of the specified Indices as shown below.</w:t>
      </w:r>
    </w:p>
    <w:p w:rsidR="001E003E" w:rsidRPr="00F9117E" w:rsidRDefault="001E003E" w:rsidP="005A2685">
      <w:pPr>
        <w:pStyle w:val="ListParagraph"/>
        <w:spacing w:line="276" w:lineRule="auto"/>
        <w:rPr>
          <w:color w:val="262626" w:themeColor="text1" w:themeTint="D9"/>
        </w:rPr>
      </w:pPr>
      <w:r w:rsidRPr="00F9117E">
        <w:rPr>
          <w:noProof/>
          <w:color w:val="262626" w:themeColor="text1" w:themeTint="D9"/>
          <w:lang w:eastAsia="en-US"/>
        </w:rPr>
        <w:drawing>
          <wp:inline distT="0" distB="0" distL="0" distR="0" wp14:anchorId="679F5A15" wp14:editId="674FB42A">
            <wp:extent cx="2743286" cy="3028950"/>
            <wp:effectExtent l="0" t="0" r="0" b="0"/>
            <wp:docPr id="1" name="Picture 1" descr="cid:image002.png@01D1EF0D.03A4C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EF0D.03A4CB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43286" cy="3028950"/>
                    </a:xfrm>
                    <a:prstGeom prst="rect">
                      <a:avLst/>
                    </a:prstGeom>
                    <a:noFill/>
                    <a:ln>
                      <a:noFill/>
                    </a:ln>
                  </pic:spPr>
                </pic:pic>
              </a:graphicData>
            </a:graphic>
          </wp:inline>
        </w:drawing>
      </w:r>
    </w:p>
    <w:p w:rsidR="001E003E" w:rsidRPr="00F9117E" w:rsidRDefault="001E003E" w:rsidP="005A2685">
      <w:pPr>
        <w:pStyle w:val="ListParagraph"/>
        <w:spacing w:line="276" w:lineRule="auto"/>
        <w:rPr>
          <w:color w:val="262626" w:themeColor="text1" w:themeTint="D9"/>
        </w:rPr>
      </w:pPr>
    </w:p>
    <w:p w:rsidR="001E003E" w:rsidRPr="0025222A" w:rsidRDefault="00137A76" w:rsidP="0025222A">
      <w:pPr>
        <w:pStyle w:val="ListParagraph"/>
        <w:spacing w:line="276" w:lineRule="auto"/>
        <w:ind w:left="360"/>
        <w:rPr>
          <w:color w:val="262626" w:themeColor="text1" w:themeTint="D9"/>
        </w:rPr>
      </w:pPr>
      <w:r>
        <w:rPr>
          <w:rFonts w:ascii="Times New Roman" w:hAnsi="Times New Roman"/>
          <w:color w:val="262626" w:themeColor="text1" w:themeTint="D9"/>
          <w:sz w:val="14"/>
          <w:szCs w:val="14"/>
        </w:rPr>
        <w:t> </w:t>
      </w:r>
      <w:r w:rsidR="001E003E" w:rsidRPr="00F9117E">
        <w:rPr>
          <w:color w:val="262626" w:themeColor="text1" w:themeTint="D9"/>
        </w:rPr>
        <w:t xml:space="preserve">The user can select any Index from the list of Indices and input the desired </w:t>
      </w:r>
      <w:r w:rsidR="001E003E" w:rsidRPr="00F9117E">
        <w:rPr>
          <w:i/>
          <w:iCs/>
          <w:color w:val="262626" w:themeColor="text1" w:themeTint="D9"/>
        </w:rPr>
        <w:t>Gain</w:t>
      </w:r>
      <w:r w:rsidR="001E003E" w:rsidRPr="00F9117E">
        <w:rPr>
          <w:color w:val="262626" w:themeColor="text1" w:themeTint="D9"/>
        </w:rPr>
        <w:t xml:space="preserve"> and </w:t>
      </w:r>
      <w:r w:rsidR="001E003E" w:rsidRPr="00F9117E">
        <w:rPr>
          <w:i/>
          <w:iCs/>
          <w:color w:val="262626" w:themeColor="text1" w:themeTint="D9"/>
        </w:rPr>
        <w:t>Bias</w:t>
      </w:r>
      <w:r w:rsidR="001E003E" w:rsidRPr="00F9117E">
        <w:rPr>
          <w:color w:val="262626" w:themeColor="text1" w:themeTint="D9"/>
        </w:rPr>
        <w:t xml:space="preserve"> values. After selecting (Checking) the required Indices, Click </w:t>
      </w:r>
      <w:r w:rsidR="001E003E" w:rsidRPr="00F9117E">
        <w:rPr>
          <w:i/>
          <w:iCs/>
          <w:color w:val="262626" w:themeColor="text1" w:themeTint="D9"/>
        </w:rPr>
        <w:t>Apply</w:t>
      </w:r>
      <w:r w:rsidR="001E003E" w:rsidRPr="00F9117E">
        <w:rPr>
          <w:color w:val="262626" w:themeColor="text1" w:themeTint="D9"/>
        </w:rPr>
        <w:t xml:space="preserve"> button to save the selected Indices values an</w:t>
      </w:r>
      <w:r w:rsidR="0025222A">
        <w:rPr>
          <w:color w:val="262626" w:themeColor="text1" w:themeTint="D9"/>
        </w:rPr>
        <w:t xml:space="preserve">d update the Views accordingly.  </w:t>
      </w:r>
    </w:p>
    <w:p w:rsidR="001E003E" w:rsidRPr="00F9117E" w:rsidRDefault="001E003E" w:rsidP="005A2685">
      <w:pPr>
        <w:pStyle w:val="ListParagraph"/>
        <w:spacing w:line="276" w:lineRule="auto"/>
        <w:ind w:hanging="360"/>
        <w:rPr>
          <w:color w:val="262626" w:themeColor="text1" w:themeTint="D9"/>
        </w:rPr>
      </w:pPr>
      <w:r w:rsidRPr="00F9117E">
        <w:rPr>
          <w:color w:val="262626" w:themeColor="text1" w:themeTint="D9"/>
        </w:rPr>
        <w:t>c)</w:t>
      </w:r>
      <w:r w:rsidRPr="00F9117E">
        <w:rPr>
          <w:rFonts w:ascii="Times New Roman" w:hAnsi="Times New Roman"/>
          <w:color w:val="262626" w:themeColor="text1" w:themeTint="D9"/>
          <w:sz w:val="14"/>
          <w:szCs w:val="14"/>
        </w:rPr>
        <w:t>      </w:t>
      </w:r>
      <w:r w:rsidR="0025222A">
        <w:rPr>
          <w:color w:val="262626" w:themeColor="text1" w:themeTint="D9"/>
        </w:rPr>
        <w:t>All available</w:t>
      </w:r>
      <w:r w:rsidRPr="00F9117E">
        <w:rPr>
          <w:color w:val="262626" w:themeColor="text1" w:themeTint="D9"/>
        </w:rPr>
        <w:t xml:space="preserve"> Indices are </w:t>
      </w:r>
      <w:r w:rsidR="0025222A">
        <w:rPr>
          <w:color w:val="262626" w:themeColor="text1" w:themeTint="D9"/>
        </w:rPr>
        <w:t>available</w:t>
      </w:r>
      <w:r w:rsidRPr="00F9117E">
        <w:rPr>
          <w:color w:val="262626" w:themeColor="text1" w:themeTint="D9"/>
        </w:rPr>
        <w:t xml:space="preserve"> for Bias </w:t>
      </w:r>
      <w:r w:rsidR="0025222A">
        <w:rPr>
          <w:color w:val="262626" w:themeColor="text1" w:themeTint="D9"/>
        </w:rPr>
        <w:t>C</w:t>
      </w:r>
      <w:r w:rsidRPr="00F9117E">
        <w:rPr>
          <w:color w:val="262626" w:themeColor="text1" w:themeTint="D9"/>
        </w:rPr>
        <w:t xml:space="preserve">orrection list, this above methodology will provide an option to the user to apply the </w:t>
      </w:r>
      <w:r w:rsidRPr="00F9117E">
        <w:rPr>
          <w:i/>
          <w:iCs/>
          <w:color w:val="262626" w:themeColor="text1" w:themeTint="D9"/>
        </w:rPr>
        <w:t>Bias Correction</w:t>
      </w:r>
      <w:r w:rsidRPr="00F9117E">
        <w:rPr>
          <w:color w:val="262626" w:themeColor="text1" w:themeTint="D9"/>
        </w:rPr>
        <w:t xml:space="preserve"> to each individual Index configured in Workspace, only according to the Indices selected in the </w:t>
      </w:r>
      <w:r w:rsidRPr="00F9117E">
        <w:rPr>
          <w:i/>
          <w:iCs/>
          <w:color w:val="262626" w:themeColor="text1" w:themeTint="D9"/>
        </w:rPr>
        <w:t>Index Bias Correction</w:t>
      </w:r>
      <w:r w:rsidRPr="00F9117E">
        <w:rPr>
          <w:color w:val="262626" w:themeColor="text1" w:themeTint="D9"/>
        </w:rPr>
        <w:t xml:space="preserve"> List. </w:t>
      </w:r>
    </w:p>
    <w:p w:rsidR="001E003E" w:rsidRPr="00F9117E" w:rsidRDefault="001E003E" w:rsidP="005A2685">
      <w:pPr>
        <w:pStyle w:val="ListParagraph"/>
        <w:spacing w:line="276" w:lineRule="auto"/>
        <w:ind w:hanging="360"/>
        <w:rPr>
          <w:color w:val="262626" w:themeColor="text1" w:themeTint="D9"/>
        </w:rPr>
      </w:pPr>
      <w:r w:rsidRPr="00F9117E">
        <w:rPr>
          <w:color w:val="262626" w:themeColor="text1" w:themeTint="D9"/>
        </w:rPr>
        <w:t>d)</w:t>
      </w:r>
      <w:r w:rsidRPr="00F9117E">
        <w:rPr>
          <w:rFonts w:ascii="Times New Roman" w:hAnsi="Times New Roman"/>
          <w:color w:val="262626" w:themeColor="text1" w:themeTint="D9"/>
          <w:sz w:val="14"/>
          <w:szCs w:val="14"/>
        </w:rPr>
        <w:t xml:space="preserve">      </w:t>
      </w:r>
      <w:r w:rsidRPr="00F9117E">
        <w:rPr>
          <w:color w:val="262626" w:themeColor="text1" w:themeTint="D9"/>
        </w:rPr>
        <w:t xml:space="preserve">The Bias Corrected Index value </w:t>
      </w:r>
      <w:r w:rsidR="005A2685" w:rsidRPr="005A2685">
        <w:rPr>
          <w:i/>
          <w:color w:val="984806" w:themeColor="accent6" w:themeShade="80"/>
        </w:rPr>
        <w:t>(INDEX*)</w:t>
      </w:r>
      <w:r w:rsidR="005A2685" w:rsidRPr="005A2685">
        <w:rPr>
          <w:color w:val="984806" w:themeColor="accent6" w:themeShade="80"/>
        </w:rPr>
        <w:t xml:space="preserve"> </w:t>
      </w:r>
      <w:r w:rsidRPr="00F9117E">
        <w:rPr>
          <w:color w:val="262626" w:themeColor="text1" w:themeTint="D9"/>
        </w:rPr>
        <w:t xml:space="preserve">will be calculated as </w:t>
      </w:r>
    </w:p>
    <w:p w:rsidR="001E003E" w:rsidRPr="00F9117E" w:rsidRDefault="001E003E" w:rsidP="005A2685">
      <w:pPr>
        <w:spacing w:line="276" w:lineRule="auto"/>
        <w:ind w:left="1440"/>
        <w:contextualSpacing/>
        <w:rPr>
          <w:color w:val="262626" w:themeColor="text1" w:themeTint="D9"/>
        </w:rPr>
      </w:pPr>
      <w:r w:rsidRPr="005A2685">
        <w:rPr>
          <w:color w:val="984806" w:themeColor="accent6" w:themeShade="80"/>
        </w:rPr>
        <w:t> </w:t>
      </w:r>
      <w:r w:rsidRPr="005A2685">
        <w:rPr>
          <w:i/>
          <w:iCs/>
          <w:color w:val="984806" w:themeColor="accent6" w:themeShade="80"/>
        </w:rPr>
        <w:t>IND</w:t>
      </w:r>
      <w:r w:rsidR="005A2685" w:rsidRPr="005A2685">
        <w:rPr>
          <w:i/>
          <w:iCs/>
          <w:color w:val="984806" w:themeColor="accent6" w:themeShade="80"/>
        </w:rPr>
        <w:t>EX</w:t>
      </w:r>
      <w:r w:rsidRPr="005A2685">
        <w:rPr>
          <w:i/>
          <w:iCs/>
          <w:color w:val="984806" w:themeColor="accent6" w:themeShade="80"/>
        </w:rPr>
        <w:t>*</w:t>
      </w:r>
      <w:proofErr w:type="gramStart"/>
      <w:r w:rsidRPr="005A2685">
        <w:rPr>
          <w:i/>
          <w:iCs/>
          <w:color w:val="984806" w:themeColor="accent6" w:themeShade="80"/>
        </w:rPr>
        <w:t>=(</w:t>
      </w:r>
      <w:proofErr w:type="gramEnd"/>
      <w:r w:rsidRPr="005A2685">
        <w:rPr>
          <w:i/>
          <w:iCs/>
          <w:color w:val="984806" w:themeColor="accent6" w:themeShade="80"/>
        </w:rPr>
        <w:t>Gain * IND</w:t>
      </w:r>
      <w:r w:rsidR="005A2685" w:rsidRPr="005A2685">
        <w:rPr>
          <w:i/>
          <w:iCs/>
          <w:color w:val="984806" w:themeColor="accent6" w:themeShade="80"/>
        </w:rPr>
        <w:t>EX</w:t>
      </w:r>
      <w:r w:rsidRPr="005A2685">
        <w:rPr>
          <w:i/>
          <w:iCs/>
          <w:color w:val="984806" w:themeColor="accent6" w:themeShade="80"/>
        </w:rPr>
        <w:t>) + Bias</w:t>
      </w:r>
      <w:r w:rsidRPr="00F9117E">
        <w:rPr>
          <w:color w:val="262626" w:themeColor="text1" w:themeTint="D9"/>
        </w:rPr>
        <w:t xml:space="preserve">, where </w:t>
      </w:r>
      <w:r w:rsidRPr="005A2685">
        <w:rPr>
          <w:i/>
          <w:iCs/>
          <w:color w:val="984806" w:themeColor="accent6" w:themeShade="80"/>
        </w:rPr>
        <w:t>IN</w:t>
      </w:r>
      <w:r w:rsidR="005A2685" w:rsidRPr="005A2685">
        <w:rPr>
          <w:i/>
          <w:iCs/>
          <w:color w:val="984806" w:themeColor="accent6" w:themeShade="80"/>
        </w:rPr>
        <w:t>DEX</w:t>
      </w:r>
      <w:r w:rsidRPr="005A2685">
        <w:rPr>
          <w:color w:val="984806" w:themeColor="accent6" w:themeShade="80"/>
        </w:rPr>
        <w:t xml:space="preserve"> </w:t>
      </w:r>
      <w:r w:rsidRPr="00F9117E">
        <w:rPr>
          <w:color w:val="262626" w:themeColor="text1" w:themeTint="D9"/>
        </w:rPr>
        <w:t>is the</w:t>
      </w:r>
      <w:r w:rsidR="005A2685">
        <w:rPr>
          <w:color w:val="262626" w:themeColor="text1" w:themeTint="D9"/>
        </w:rPr>
        <w:t xml:space="preserve"> actual value of the </w:t>
      </w:r>
      <w:r w:rsidRPr="00F9117E">
        <w:rPr>
          <w:color w:val="262626" w:themeColor="text1" w:themeTint="D9"/>
        </w:rPr>
        <w:t>Index under consideration. The Bias corrected Indices will be marked with * (</w:t>
      </w:r>
      <w:proofErr w:type="spellStart"/>
      <w:r w:rsidRPr="00F9117E">
        <w:rPr>
          <w:color w:val="262626" w:themeColor="text1" w:themeTint="D9"/>
        </w:rPr>
        <w:t>eg</w:t>
      </w:r>
      <w:proofErr w:type="spellEnd"/>
      <w:r w:rsidRPr="005A2685">
        <w:rPr>
          <w:i/>
          <w:color w:val="262626" w:themeColor="text1" w:themeTint="D9"/>
        </w:rPr>
        <w:t>: APHA *10mm</w:t>
      </w:r>
      <w:r w:rsidRPr="00F9117E">
        <w:rPr>
          <w:color w:val="262626" w:themeColor="text1" w:themeTint="D9"/>
        </w:rPr>
        <w:t>) in the respective view display.</w:t>
      </w:r>
    </w:p>
    <w:p w:rsidR="000414A2" w:rsidRPr="00F9117E" w:rsidRDefault="000414A2" w:rsidP="005A2685">
      <w:pPr>
        <w:spacing w:line="276" w:lineRule="auto"/>
        <w:rPr>
          <w:color w:val="262626" w:themeColor="text1" w:themeTint="D9"/>
        </w:rPr>
      </w:pPr>
    </w:p>
    <w:p w:rsidR="009B757D" w:rsidRPr="00AD15A9" w:rsidRDefault="0025222A">
      <w:pPr>
        <w:widowControl/>
        <w:jc w:val="left"/>
        <w:rPr>
          <w:b/>
          <w:color w:val="262626" w:themeColor="text1" w:themeTint="D9"/>
        </w:rPr>
      </w:pPr>
      <w:bookmarkStart w:id="0" w:name="_Toc23929"/>
      <w:r w:rsidRPr="00AD15A9">
        <w:rPr>
          <w:b/>
          <w:color w:val="262626" w:themeColor="text1" w:themeTint="D9"/>
        </w:rPr>
        <w:t>Practical use e</w:t>
      </w:r>
      <w:r w:rsidR="009B757D" w:rsidRPr="00AD15A9">
        <w:rPr>
          <w:b/>
          <w:color w:val="262626" w:themeColor="text1" w:themeTint="D9"/>
        </w:rPr>
        <w:t>xample</w:t>
      </w:r>
      <w:r w:rsidR="005E2102" w:rsidRPr="00AD15A9">
        <w:rPr>
          <w:b/>
          <w:color w:val="262626" w:themeColor="text1" w:themeTint="D9"/>
        </w:rPr>
        <w:t xml:space="preserve"> 1</w:t>
      </w:r>
      <w:r w:rsidR="009B757D" w:rsidRPr="00AD15A9">
        <w:rPr>
          <w:b/>
          <w:color w:val="262626" w:themeColor="text1" w:themeTint="D9"/>
        </w:rPr>
        <w:t>:</w:t>
      </w:r>
    </w:p>
    <w:p w:rsidR="0025222A" w:rsidRDefault="005E4A32">
      <w:pPr>
        <w:widowControl/>
        <w:jc w:val="left"/>
        <w:rPr>
          <w:color w:val="262626" w:themeColor="text1" w:themeTint="D9"/>
        </w:rPr>
      </w:pPr>
      <w:r w:rsidRPr="00137A76">
        <w:rPr>
          <w:color w:val="262626" w:themeColor="text1" w:themeTint="D9"/>
        </w:rPr>
        <w:t>User wishes</w:t>
      </w:r>
      <w:r w:rsidR="0060170C" w:rsidRPr="00137A76">
        <w:rPr>
          <w:color w:val="262626" w:themeColor="text1" w:themeTint="D9"/>
        </w:rPr>
        <w:t xml:space="preserve"> to correct for the slight offset between, the assigned values for their standards and the values measured by the instrument.</w:t>
      </w:r>
      <w:r w:rsidR="005E2102" w:rsidRPr="00137A76">
        <w:rPr>
          <w:color w:val="262626" w:themeColor="text1" w:themeTint="D9"/>
        </w:rPr>
        <w:t xml:space="preserve">  </w:t>
      </w:r>
    </w:p>
    <w:p w:rsidR="0025222A" w:rsidRDefault="0025222A">
      <w:pPr>
        <w:widowControl/>
        <w:jc w:val="left"/>
        <w:rPr>
          <w:color w:val="262626" w:themeColor="text1" w:themeTint="D9"/>
        </w:rPr>
      </w:pPr>
    </w:p>
    <w:p w:rsidR="0060170C" w:rsidRPr="00137A76" w:rsidRDefault="005E2102">
      <w:pPr>
        <w:widowControl/>
        <w:jc w:val="left"/>
        <w:rPr>
          <w:color w:val="262626" w:themeColor="text1" w:themeTint="D9"/>
        </w:rPr>
      </w:pPr>
      <w:r w:rsidRPr="00137A76">
        <w:rPr>
          <w:color w:val="262626" w:themeColor="text1" w:themeTint="D9"/>
        </w:rPr>
        <w:t>The User has</w:t>
      </w:r>
      <w:r w:rsidR="005E4A32" w:rsidRPr="00137A76">
        <w:rPr>
          <w:color w:val="262626" w:themeColor="text1" w:themeTint="D9"/>
        </w:rPr>
        <w:t xml:space="preserve"> data points for</w:t>
      </w:r>
      <w:r w:rsidRPr="00137A76">
        <w:rPr>
          <w:color w:val="262626" w:themeColor="text1" w:themeTint="D9"/>
        </w:rPr>
        <w:t xml:space="preserve"> two standard</w:t>
      </w:r>
      <w:r w:rsidR="005E4A32" w:rsidRPr="00137A76">
        <w:rPr>
          <w:color w:val="262626" w:themeColor="text1" w:themeTint="D9"/>
        </w:rPr>
        <w:t xml:space="preserve">s. </w:t>
      </w:r>
    </w:p>
    <w:p w:rsidR="0060170C" w:rsidRPr="00137A76" w:rsidRDefault="0060170C">
      <w:pPr>
        <w:widowControl/>
        <w:jc w:val="left"/>
        <w:rPr>
          <w:color w:val="262626" w:themeColor="text1" w:themeTint="D9"/>
        </w:rPr>
      </w:pPr>
    </w:p>
    <w:p w:rsidR="0060170C" w:rsidRPr="00137A76" w:rsidRDefault="0060170C">
      <w:pPr>
        <w:widowControl/>
        <w:jc w:val="left"/>
        <w:rPr>
          <w:color w:val="262626" w:themeColor="text1" w:themeTint="D9"/>
        </w:rPr>
      </w:pPr>
      <w:r w:rsidRPr="00137A76">
        <w:rPr>
          <w:color w:val="262626" w:themeColor="text1" w:themeTint="D9"/>
        </w:rPr>
        <w:t>Using the data below, the user would need to complete the simple calculations to solve for the Gain and Bias, as found in the equation APHA</w:t>
      </w:r>
      <w:r w:rsidR="0025222A">
        <w:rPr>
          <w:color w:val="262626" w:themeColor="text1" w:themeTint="D9"/>
        </w:rPr>
        <w:t>*</w:t>
      </w:r>
      <w:r w:rsidRPr="00137A76">
        <w:rPr>
          <w:color w:val="262626" w:themeColor="text1" w:themeTint="D9"/>
        </w:rPr>
        <w:t xml:space="preserve"> (corrected)=APHA (measured) * Gain + Bias. </w:t>
      </w:r>
    </w:p>
    <w:p w:rsidR="005E4A32" w:rsidRPr="00137A76" w:rsidRDefault="005E4A32">
      <w:pPr>
        <w:widowControl/>
        <w:jc w:val="left"/>
        <w:rPr>
          <w:color w:val="262626" w:themeColor="text1" w:themeTint="D9"/>
        </w:rPr>
      </w:pPr>
    </w:p>
    <w:p w:rsidR="009B757D" w:rsidRPr="00137A76" w:rsidRDefault="009B757D">
      <w:pPr>
        <w:widowControl/>
        <w:jc w:val="left"/>
        <w:rPr>
          <w:color w:val="262626" w:themeColor="text1" w:themeTint="D9"/>
        </w:rPr>
      </w:pPr>
      <w:r w:rsidRPr="00137A76">
        <w:rPr>
          <w:color w:val="262626" w:themeColor="text1" w:themeTint="D9"/>
        </w:rPr>
        <w:t>Standard Values</w:t>
      </w:r>
      <w:r w:rsidRPr="00137A76">
        <w:rPr>
          <w:color w:val="262626" w:themeColor="text1" w:themeTint="D9"/>
        </w:rPr>
        <w:tab/>
      </w:r>
      <w:r w:rsidRPr="00137A76">
        <w:rPr>
          <w:color w:val="262626" w:themeColor="text1" w:themeTint="D9"/>
        </w:rPr>
        <w:tab/>
        <w:t>Measured Sample Values</w:t>
      </w:r>
    </w:p>
    <w:p w:rsidR="0060170C" w:rsidRPr="00137A76" w:rsidRDefault="009B757D">
      <w:pPr>
        <w:widowControl/>
        <w:jc w:val="left"/>
        <w:rPr>
          <w:color w:val="262626" w:themeColor="text1" w:themeTint="D9"/>
        </w:rPr>
      </w:pPr>
      <w:r w:rsidRPr="00137A76">
        <w:rPr>
          <w:color w:val="262626" w:themeColor="text1" w:themeTint="D9"/>
        </w:rPr>
        <w:t>APHA = 2</w:t>
      </w:r>
      <w:r w:rsidRPr="00137A76">
        <w:rPr>
          <w:color w:val="262626" w:themeColor="text1" w:themeTint="D9"/>
        </w:rPr>
        <w:tab/>
      </w:r>
      <w:r w:rsidRPr="00137A76">
        <w:rPr>
          <w:color w:val="262626" w:themeColor="text1" w:themeTint="D9"/>
        </w:rPr>
        <w:tab/>
      </w:r>
      <w:r w:rsidRPr="00137A76">
        <w:rPr>
          <w:color w:val="262626" w:themeColor="text1" w:themeTint="D9"/>
        </w:rPr>
        <w:tab/>
      </w:r>
      <w:r w:rsidR="00137A76">
        <w:rPr>
          <w:color w:val="262626" w:themeColor="text1" w:themeTint="D9"/>
        </w:rPr>
        <w:tab/>
      </w:r>
      <w:r w:rsidRPr="00137A76">
        <w:rPr>
          <w:color w:val="262626" w:themeColor="text1" w:themeTint="D9"/>
        </w:rPr>
        <w:t xml:space="preserve">APHA = </w:t>
      </w:r>
      <w:r w:rsidR="0060170C" w:rsidRPr="00137A76">
        <w:rPr>
          <w:color w:val="262626" w:themeColor="text1" w:themeTint="D9"/>
        </w:rPr>
        <w:t>2.4</w:t>
      </w:r>
    </w:p>
    <w:p w:rsidR="00DF6F8B" w:rsidRPr="00137A76" w:rsidRDefault="009B757D">
      <w:pPr>
        <w:widowControl/>
        <w:jc w:val="left"/>
        <w:rPr>
          <w:color w:val="262626" w:themeColor="text1" w:themeTint="D9"/>
        </w:rPr>
      </w:pPr>
      <w:r w:rsidRPr="00137A76">
        <w:rPr>
          <w:color w:val="262626" w:themeColor="text1" w:themeTint="D9"/>
        </w:rPr>
        <w:t>APHA =10</w:t>
      </w:r>
      <w:r w:rsidR="00DF6F8B" w:rsidRPr="00137A76">
        <w:rPr>
          <w:color w:val="262626" w:themeColor="text1" w:themeTint="D9"/>
        </w:rPr>
        <w:tab/>
      </w:r>
      <w:r w:rsidR="00DF6F8B" w:rsidRPr="00137A76">
        <w:rPr>
          <w:color w:val="262626" w:themeColor="text1" w:themeTint="D9"/>
        </w:rPr>
        <w:tab/>
      </w:r>
      <w:r w:rsidR="00DF6F8B" w:rsidRPr="00137A76">
        <w:rPr>
          <w:color w:val="262626" w:themeColor="text1" w:themeTint="D9"/>
        </w:rPr>
        <w:tab/>
        <w:t>AHPA = 10.6</w:t>
      </w:r>
    </w:p>
    <w:p w:rsidR="00DF6F8B" w:rsidRPr="00137A76" w:rsidRDefault="00DF6F8B">
      <w:pPr>
        <w:widowControl/>
        <w:jc w:val="left"/>
        <w:rPr>
          <w:color w:val="262626" w:themeColor="text1" w:themeTint="D9"/>
        </w:rPr>
      </w:pPr>
    </w:p>
    <w:p w:rsidR="0025222A" w:rsidRDefault="0025222A">
      <w:pPr>
        <w:widowControl/>
        <w:jc w:val="left"/>
        <w:rPr>
          <w:color w:val="262626" w:themeColor="text1" w:themeTint="D9"/>
        </w:rPr>
      </w:pPr>
      <w:r>
        <w:rPr>
          <w:color w:val="262626" w:themeColor="text1" w:themeTint="D9"/>
        </w:rPr>
        <w:t xml:space="preserve">Gain Correction= </w:t>
      </w:r>
      <w:bookmarkStart w:id="1" w:name="_GoBack"/>
      <w:r>
        <w:rPr>
          <w:color w:val="262626" w:themeColor="text1" w:themeTint="D9"/>
        </w:rPr>
        <w:t>(Standard Value 1-Standard Value 2)</w:t>
      </w:r>
      <w:proofErr w:type="gramStart"/>
      <w:r>
        <w:rPr>
          <w:color w:val="262626" w:themeColor="text1" w:themeTint="D9"/>
        </w:rPr>
        <w:t>/(</w:t>
      </w:r>
      <w:proofErr w:type="gramEnd"/>
      <w:r>
        <w:rPr>
          <w:color w:val="262626" w:themeColor="text1" w:themeTint="D9"/>
        </w:rPr>
        <w:t xml:space="preserve">Measured Value 1- Measured Value 2), </w:t>
      </w:r>
      <w:bookmarkEnd w:id="1"/>
      <w:r>
        <w:rPr>
          <w:color w:val="262626" w:themeColor="text1" w:themeTint="D9"/>
        </w:rPr>
        <w:t xml:space="preserve">such that </w:t>
      </w:r>
    </w:p>
    <w:p w:rsidR="00DF6F8B" w:rsidRDefault="0025222A" w:rsidP="00EC7891">
      <w:pPr>
        <w:widowControl/>
        <w:ind w:left="1260" w:firstLine="420"/>
        <w:jc w:val="left"/>
        <w:rPr>
          <w:color w:val="262626" w:themeColor="text1" w:themeTint="D9"/>
        </w:rPr>
      </w:pPr>
      <w:r>
        <w:rPr>
          <w:color w:val="262626" w:themeColor="text1" w:themeTint="D9"/>
        </w:rPr>
        <w:t>Gain</w:t>
      </w:r>
      <w:proofErr w:type="gramStart"/>
      <w:r>
        <w:rPr>
          <w:color w:val="262626" w:themeColor="text1" w:themeTint="D9"/>
        </w:rPr>
        <w:t>=</w:t>
      </w:r>
      <w:r w:rsidR="00DF6F8B" w:rsidRPr="00137A76">
        <w:rPr>
          <w:color w:val="262626" w:themeColor="text1" w:themeTint="D9"/>
        </w:rPr>
        <w:t>(</w:t>
      </w:r>
      <w:proofErr w:type="gramEnd"/>
      <w:r w:rsidR="00DF6F8B" w:rsidRPr="00137A76">
        <w:rPr>
          <w:color w:val="262626" w:themeColor="text1" w:themeTint="D9"/>
        </w:rPr>
        <w:t>10-2)/(10.6-2.4)</w:t>
      </w:r>
      <w:r w:rsidR="00EC7891">
        <w:rPr>
          <w:color w:val="262626" w:themeColor="text1" w:themeTint="D9"/>
        </w:rPr>
        <w:t xml:space="preserve"> = </w:t>
      </w:r>
      <w:r w:rsidR="00DF6F8B" w:rsidRPr="00137A76">
        <w:rPr>
          <w:color w:val="262626" w:themeColor="text1" w:themeTint="D9"/>
        </w:rPr>
        <w:t>0.975</w:t>
      </w:r>
      <w:r>
        <w:rPr>
          <w:color w:val="262626" w:themeColor="text1" w:themeTint="D9"/>
        </w:rPr>
        <w:t xml:space="preserve"> and,</w:t>
      </w:r>
    </w:p>
    <w:p w:rsidR="0025222A" w:rsidRDefault="0025222A">
      <w:pPr>
        <w:widowControl/>
        <w:jc w:val="left"/>
        <w:rPr>
          <w:color w:val="262626" w:themeColor="text1" w:themeTint="D9"/>
        </w:rPr>
      </w:pPr>
      <w:r>
        <w:rPr>
          <w:color w:val="262626" w:themeColor="text1" w:themeTint="D9"/>
        </w:rPr>
        <w:t xml:space="preserve">Bias Correction=Target Value 1-(Measured Value 1*Gain), such that </w:t>
      </w:r>
    </w:p>
    <w:p w:rsidR="0060170C" w:rsidRDefault="0025222A" w:rsidP="00EC7891">
      <w:pPr>
        <w:widowControl/>
        <w:ind w:left="1260" w:firstLine="420"/>
        <w:jc w:val="left"/>
        <w:rPr>
          <w:color w:val="262626" w:themeColor="text1" w:themeTint="D9"/>
        </w:rPr>
      </w:pPr>
      <w:r>
        <w:rPr>
          <w:color w:val="262626" w:themeColor="text1" w:themeTint="D9"/>
        </w:rPr>
        <w:t>Bias=</w:t>
      </w:r>
      <w:r w:rsidR="00DF6F8B" w:rsidRPr="00137A76">
        <w:rPr>
          <w:color w:val="262626" w:themeColor="text1" w:themeTint="D9"/>
        </w:rPr>
        <w:t xml:space="preserve"> </w:t>
      </w:r>
      <w:r w:rsidR="005E2102" w:rsidRPr="00137A76">
        <w:rPr>
          <w:color w:val="262626" w:themeColor="text1" w:themeTint="D9"/>
        </w:rPr>
        <w:t>10-(</w:t>
      </w:r>
      <w:r w:rsidR="00DF6F8B" w:rsidRPr="00137A76">
        <w:rPr>
          <w:color w:val="262626" w:themeColor="text1" w:themeTint="D9"/>
        </w:rPr>
        <w:t>0.975*</w:t>
      </w:r>
      <w:r w:rsidR="005E2102" w:rsidRPr="00137A76">
        <w:rPr>
          <w:color w:val="262626" w:themeColor="text1" w:themeTint="D9"/>
        </w:rPr>
        <w:t>10.6)</w:t>
      </w:r>
      <w:r w:rsidR="00EC7891">
        <w:rPr>
          <w:color w:val="262626" w:themeColor="text1" w:themeTint="D9"/>
        </w:rPr>
        <w:t xml:space="preserve"> = -</w:t>
      </w:r>
      <w:r w:rsidR="005E2102" w:rsidRPr="00137A76">
        <w:rPr>
          <w:color w:val="262626" w:themeColor="text1" w:themeTint="D9"/>
        </w:rPr>
        <w:t>0.34</w:t>
      </w:r>
    </w:p>
    <w:p w:rsidR="0025222A" w:rsidRDefault="0025222A">
      <w:pPr>
        <w:widowControl/>
        <w:jc w:val="left"/>
        <w:rPr>
          <w:color w:val="262626" w:themeColor="text1" w:themeTint="D9"/>
        </w:rPr>
      </w:pPr>
    </w:p>
    <w:p w:rsidR="0025222A" w:rsidRDefault="00AD15A9">
      <w:pPr>
        <w:widowControl/>
        <w:jc w:val="left"/>
        <w:rPr>
          <w:color w:val="262626" w:themeColor="text1" w:themeTint="D9"/>
        </w:rPr>
      </w:pPr>
      <w:r>
        <w:rPr>
          <w:color w:val="262626" w:themeColor="text1" w:themeTint="D9"/>
        </w:rPr>
        <w:t>Index*=0.975*m+(-0.34)</w:t>
      </w:r>
    </w:p>
    <w:p w:rsidR="00AD15A9" w:rsidRDefault="00AD15A9" w:rsidP="00EC7891">
      <w:pPr>
        <w:widowControl/>
        <w:ind w:left="1680"/>
        <w:jc w:val="left"/>
        <w:rPr>
          <w:color w:val="262626" w:themeColor="text1" w:themeTint="D9"/>
        </w:rPr>
      </w:pPr>
      <w:r>
        <w:rPr>
          <w:color w:val="262626" w:themeColor="text1" w:themeTint="D9"/>
        </w:rPr>
        <w:t>To check equation, reintroduce the Measured values to be corrected,</w:t>
      </w:r>
    </w:p>
    <w:p w:rsidR="0025222A" w:rsidRPr="00137A76" w:rsidRDefault="0025222A" w:rsidP="00EC7891">
      <w:pPr>
        <w:widowControl/>
        <w:ind w:left="1680"/>
        <w:jc w:val="left"/>
        <w:rPr>
          <w:color w:val="262626" w:themeColor="text1" w:themeTint="D9"/>
        </w:rPr>
      </w:pPr>
      <w:r>
        <w:rPr>
          <w:color w:val="262626" w:themeColor="text1" w:themeTint="D9"/>
        </w:rPr>
        <w:t>Index*=0.975*2.4+(-0.34)</w:t>
      </w:r>
      <w:r w:rsidR="00EC7891">
        <w:rPr>
          <w:color w:val="262626" w:themeColor="text1" w:themeTint="D9"/>
        </w:rPr>
        <w:t xml:space="preserve"> = </w:t>
      </w:r>
      <w:r w:rsidR="00AD15A9">
        <w:rPr>
          <w:color w:val="262626" w:themeColor="text1" w:themeTint="D9"/>
        </w:rPr>
        <w:t>2.0</w:t>
      </w:r>
    </w:p>
    <w:p w:rsidR="005E2102" w:rsidRPr="00137A76" w:rsidRDefault="005E2102">
      <w:pPr>
        <w:widowControl/>
        <w:jc w:val="left"/>
        <w:rPr>
          <w:color w:val="262626" w:themeColor="text1" w:themeTint="D9"/>
        </w:rPr>
      </w:pPr>
    </w:p>
    <w:p w:rsidR="00AD15A9" w:rsidRPr="00AD15A9" w:rsidRDefault="00AD15A9" w:rsidP="00AD15A9">
      <w:pPr>
        <w:widowControl/>
        <w:jc w:val="left"/>
        <w:rPr>
          <w:b/>
          <w:color w:val="262626" w:themeColor="text1" w:themeTint="D9"/>
        </w:rPr>
      </w:pPr>
      <w:r w:rsidRPr="00AD15A9">
        <w:rPr>
          <w:b/>
          <w:color w:val="262626" w:themeColor="text1" w:themeTint="D9"/>
        </w:rPr>
        <w:t>Practical use example</w:t>
      </w:r>
      <w:r>
        <w:rPr>
          <w:b/>
          <w:color w:val="262626" w:themeColor="text1" w:themeTint="D9"/>
        </w:rPr>
        <w:t xml:space="preserve"> 2</w:t>
      </w:r>
      <w:r w:rsidRPr="00AD15A9">
        <w:rPr>
          <w:b/>
          <w:color w:val="262626" w:themeColor="text1" w:themeTint="D9"/>
        </w:rPr>
        <w:t>:</w:t>
      </w:r>
    </w:p>
    <w:p w:rsidR="005E2102" w:rsidRPr="00137A76" w:rsidRDefault="005E2102">
      <w:pPr>
        <w:widowControl/>
        <w:jc w:val="left"/>
        <w:rPr>
          <w:color w:val="262626" w:themeColor="text1" w:themeTint="D9"/>
        </w:rPr>
      </w:pPr>
      <w:r w:rsidRPr="00137A76">
        <w:rPr>
          <w:color w:val="262626" w:themeColor="text1" w:themeTint="D9"/>
        </w:rPr>
        <w:t>User has one standard data point.</w:t>
      </w:r>
    </w:p>
    <w:p w:rsidR="005E2102" w:rsidRDefault="005E2102">
      <w:pPr>
        <w:widowControl/>
        <w:jc w:val="left"/>
        <w:rPr>
          <w:color w:val="262626" w:themeColor="text1" w:themeTint="D9"/>
        </w:rPr>
      </w:pPr>
    </w:p>
    <w:p w:rsidR="00AD15A9" w:rsidRPr="00137A76" w:rsidRDefault="00AD15A9" w:rsidP="00EC7891">
      <w:pPr>
        <w:widowControl/>
        <w:ind w:left="1680"/>
        <w:jc w:val="left"/>
        <w:rPr>
          <w:color w:val="262626" w:themeColor="text1" w:themeTint="D9"/>
        </w:rPr>
      </w:pPr>
      <w:r w:rsidRPr="00137A76">
        <w:rPr>
          <w:color w:val="262626" w:themeColor="text1" w:themeTint="D9"/>
        </w:rPr>
        <w:t>Standard Values</w:t>
      </w:r>
      <w:r w:rsidRPr="00137A76">
        <w:rPr>
          <w:color w:val="262626" w:themeColor="text1" w:themeTint="D9"/>
        </w:rPr>
        <w:tab/>
      </w:r>
      <w:r w:rsidRPr="00137A76">
        <w:rPr>
          <w:color w:val="262626" w:themeColor="text1" w:themeTint="D9"/>
        </w:rPr>
        <w:tab/>
        <w:t>Measured Sample Values</w:t>
      </w:r>
    </w:p>
    <w:p w:rsidR="00AD15A9" w:rsidRPr="00137A76" w:rsidRDefault="00AD15A9" w:rsidP="00EC7891">
      <w:pPr>
        <w:widowControl/>
        <w:ind w:left="1680"/>
        <w:jc w:val="left"/>
        <w:rPr>
          <w:color w:val="262626" w:themeColor="text1" w:themeTint="D9"/>
        </w:rPr>
      </w:pPr>
      <w:r w:rsidRPr="00137A76">
        <w:rPr>
          <w:color w:val="262626" w:themeColor="text1" w:themeTint="D9"/>
        </w:rPr>
        <w:t>APHA = 2</w:t>
      </w:r>
      <w:r w:rsidRPr="00137A76">
        <w:rPr>
          <w:color w:val="262626" w:themeColor="text1" w:themeTint="D9"/>
        </w:rPr>
        <w:tab/>
      </w:r>
      <w:r w:rsidRPr="00137A76">
        <w:rPr>
          <w:color w:val="262626" w:themeColor="text1" w:themeTint="D9"/>
        </w:rPr>
        <w:tab/>
      </w:r>
      <w:r w:rsidRPr="00137A76">
        <w:rPr>
          <w:color w:val="262626" w:themeColor="text1" w:themeTint="D9"/>
        </w:rPr>
        <w:tab/>
      </w:r>
      <w:r>
        <w:rPr>
          <w:color w:val="262626" w:themeColor="text1" w:themeTint="D9"/>
        </w:rPr>
        <w:tab/>
      </w:r>
      <w:r w:rsidRPr="00137A76">
        <w:rPr>
          <w:color w:val="262626" w:themeColor="text1" w:themeTint="D9"/>
        </w:rPr>
        <w:t>APHA = 2.4</w:t>
      </w:r>
    </w:p>
    <w:p w:rsidR="00AD15A9" w:rsidRDefault="00AD15A9">
      <w:pPr>
        <w:widowControl/>
        <w:jc w:val="left"/>
        <w:rPr>
          <w:color w:val="262626" w:themeColor="text1" w:themeTint="D9"/>
        </w:rPr>
      </w:pPr>
    </w:p>
    <w:p w:rsidR="00AD15A9" w:rsidRDefault="00AD15A9">
      <w:pPr>
        <w:widowControl/>
        <w:jc w:val="left"/>
        <w:rPr>
          <w:color w:val="262626" w:themeColor="text1" w:themeTint="D9"/>
        </w:rPr>
      </w:pPr>
      <w:r>
        <w:rPr>
          <w:color w:val="262626" w:themeColor="text1" w:themeTint="D9"/>
        </w:rPr>
        <w:t xml:space="preserve">With a single data </w:t>
      </w:r>
      <w:proofErr w:type="gramStart"/>
      <w:r>
        <w:rPr>
          <w:color w:val="262626" w:themeColor="text1" w:themeTint="D9"/>
        </w:rPr>
        <w:t>point</w:t>
      </w:r>
      <w:proofErr w:type="gramEnd"/>
      <w:r>
        <w:rPr>
          <w:color w:val="262626" w:themeColor="text1" w:themeTint="D9"/>
        </w:rPr>
        <w:t xml:space="preserve"> the Gain remains at 1.0 but the user can apply the Bias correction such that</w:t>
      </w:r>
    </w:p>
    <w:p w:rsidR="00AD15A9" w:rsidRDefault="00AD15A9" w:rsidP="00EC7891">
      <w:pPr>
        <w:widowControl/>
        <w:ind w:left="1680"/>
        <w:jc w:val="left"/>
        <w:rPr>
          <w:color w:val="262626" w:themeColor="text1" w:themeTint="D9"/>
        </w:rPr>
      </w:pPr>
      <w:r>
        <w:rPr>
          <w:color w:val="262626" w:themeColor="text1" w:themeTint="D9"/>
        </w:rPr>
        <w:t>Bias= Standard Value- Measured Value</w:t>
      </w:r>
    </w:p>
    <w:p w:rsidR="00AD15A9" w:rsidRPr="00137A76" w:rsidRDefault="00AD15A9" w:rsidP="00EC7891">
      <w:pPr>
        <w:widowControl/>
        <w:ind w:left="1680"/>
        <w:jc w:val="left"/>
        <w:rPr>
          <w:color w:val="262626" w:themeColor="text1" w:themeTint="D9"/>
        </w:rPr>
      </w:pPr>
      <w:r>
        <w:rPr>
          <w:color w:val="262626" w:themeColor="text1" w:themeTint="D9"/>
        </w:rPr>
        <w:t>Bias= 2-2.4</w:t>
      </w:r>
      <w:r w:rsidR="00EC7891">
        <w:rPr>
          <w:color w:val="262626" w:themeColor="text1" w:themeTint="D9"/>
        </w:rPr>
        <w:t xml:space="preserve"> </w:t>
      </w:r>
      <w:r>
        <w:rPr>
          <w:color w:val="262626" w:themeColor="text1" w:themeTint="D9"/>
        </w:rPr>
        <w:t>= -0.4</w:t>
      </w:r>
    </w:p>
    <w:p w:rsidR="0060170C" w:rsidRDefault="0060170C">
      <w:pPr>
        <w:widowControl/>
        <w:jc w:val="left"/>
        <w:rPr>
          <w:color w:val="262626" w:themeColor="text1" w:themeTint="D9"/>
        </w:rPr>
      </w:pPr>
    </w:p>
    <w:p w:rsidR="00AD15A9" w:rsidRDefault="00AD15A9">
      <w:pPr>
        <w:widowControl/>
        <w:jc w:val="left"/>
        <w:rPr>
          <w:color w:val="262626" w:themeColor="text1" w:themeTint="D9"/>
        </w:rPr>
      </w:pPr>
      <w:r>
        <w:rPr>
          <w:color w:val="262626" w:themeColor="text1" w:themeTint="D9"/>
        </w:rPr>
        <w:t>It can be seen from this example that a single point correction adjusts for the difference between any single standard and sample but does not correct for any difference in gain between additional samples.</w:t>
      </w:r>
    </w:p>
    <w:p w:rsidR="00AD15A9" w:rsidRDefault="00AD15A9">
      <w:pPr>
        <w:widowControl/>
        <w:jc w:val="left"/>
        <w:rPr>
          <w:color w:val="262626" w:themeColor="text1" w:themeTint="D9"/>
        </w:rPr>
      </w:pPr>
    </w:p>
    <w:p w:rsidR="00AD15A9" w:rsidRDefault="00AD15A9" w:rsidP="00AD15A9">
      <w:pPr>
        <w:widowControl/>
        <w:jc w:val="left"/>
        <w:rPr>
          <w:b/>
          <w:color w:val="262626" w:themeColor="text1" w:themeTint="D9"/>
        </w:rPr>
      </w:pPr>
      <w:r w:rsidRPr="00AD15A9">
        <w:rPr>
          <w:b/>
          <w:color w:val="262626" w:themeColor="text1" w:themeTint="D9"/>
        </w:rPr>
        <w:t xml:space="preserve">Practical use example </w:t>
      </w:r>
      <w:r>
        <w:rPr>
          <w:b/>
          <w:color w:val="262626" w:themeColor="text1" w:themeTint="D9"/>
        </w:rPr>
        <w:t>3</w:t>
      </w:r>
      <w:r w:rsidRPr="00AD15A9">
        <w:rPr>
          <w:b/>
          <w:color w:val="262626" w:themeColor="text1" w:themeTint="D9"/>
        </w:rPr>
        <w:t>:</w:t>
      </w:r>
    </w:p>
    <w:p w:rsidR="00AD15A9" w:rsidRPr="00AD15A9" w:rsidRDefault="00AD15A9" w:rsidP="00AD15A9">
      <w:pPr>
        <w:widowControl/>
        <w:jc w:val="left"/>
        <w:rPr>
          <w:color w:val="262626" w:themeColor="text1" w:themeTint="D9"/>
        </w:rPr>
      </w:pPr>
      <w:r>
        <w:rPr>
          <w:color w:val="262626" w:themeColor="text1" w:themeTint="D9"/>
        </w:rPr>
        <w:t>As evidenced in Example 2, the addition of measured data points within the working sample range will improve Bias and Gain correction.  For data sets greater than 2 points, it is recommended that the user employ linear regression techniques available in most statistical and spreadsheet packages.</w:t>
      </w:r>
    </w:p>
    <w:p w:rsidR="00AD15A9" w:rsidRPr="00137A76" w:rsidRDefault="00AD15A9">
      <w:pPr>
        <w:widowControl/>
        <w:jc w:val="left"/>
        <w:rPr>
          <w:color w:val="262626" w:themeColor="text1" w:themeTint="D9"/>
        </w:rPr>
      </w:pPr>
    </w:p>
    <w:p w:rsidR="00245D4C" w:rsidRPr="00137A76" w:rsidRDefault="00245D4C">
      <w:pPr>
        <w:widowControl/>
        <w:jc w:val="left"/>
        <w:rPr>
          <w:color w:val="262626" w:themeColor="text1" w:themeTint="D9"/>
        </w:rPr>
      </w:pPr>
      <w:r w:rsidRPr="00137A76">
        <w:rPr>
          <w:color w:val="262626" w:themeColor="text1" w:themeTint="D9"/>
        </w:rPr>
        <w:br w:type="page"/>
      </w:r>
    </w:p>
    <w:p w:rsidR="004A1921" w:rsidRPr="00245D4C" w:rsidRDefault="004A1921" w:rsidP="005A2685">
      <w:pPr>
        <w:pStyle w:val="Heading1"/>
        <w:numPr>
          <w:ilvl w:val="0"/>
          <w:numId w:val="1"/>
        </w:numPr>
        <w:spacing w:before="0" w:after="0" w:line="276" w:lineRule="auto"/>
        <w:rPr>
          <w:rFonts w:ascii="Calibri" w:hAnsi="Calibri"/>
          <w:sz w:val="24"/>
          <w:szCs w:val="24"/>
        </w:rPr>
      </w:pPr>
      <w:bookmarkStart w:id="2" w:name="_Toc459403223"/>
      <w:r w:rsidRPr="00245D4C">
        <w:rPr>
          <w:rFonts w:ascii="Calibri" w:hAnsi="Calibri"/>
          <w:sz w:val="24"/>
          <w:szCs w:val="24"/>
        </w:rPr>
        <w:t xml:space="preserve">The </w:t>
      </w:r>
      <w:r w:rsidR="00BE65A5" w:rsidRPr="00245D4C">
        <w:rPr>
          <w:rFonts w:ascii="Calibri" w:hAnsi="Calibri"/>
          <w:sz w:val="24"/>
          <w:szCs w:val="24"/>
        </w:rPr>
        <w:t xml:space="preserve">Addressed </w:t>
      </w:r>
      <w:r w:rsidRPr="00245D4C">
        <w:rPr>
          <w:rFonts w:ascii="Calibri" w:hAnsi="Calibri"/>
          <w:sz w:val="24"/>
          <w:szCs w:val="24"/>
        </w:rPr>
        <w:t>Tasks</w:t>
      </w:r>
      <w:bookmarkEnd w:id="2"/>
      <w:r w:rsidRPr="00245D4C">
        <w:rPr>
          <w:rFonts w:ascii="Calibri" w:hAnsi="Calibri"/>
          <w:sz w:val="24"/>
          <w:szCs w:val="24"/>
        </w:rPr>
        <w:t xml:space="preserve"> </w:t>
      </w:r>
      <w:bookmarkEnd w:id="0"/>
    </w:p>
    <w:p w:rsidR="00BC78CE" w:rsidRPr="00245D4C" w:rsidRDefault="00BC78CE" w:rsidP="00BC78CE">
      <w:pPr>
        <w:pStyle w:val="Heading2"/>
        <w:numPr>
          <w:ilvl w:val="0"/>
          <w:numId w:val="6"/>
        </w:numPr>
        <w:tabs>
          <w:tab w:val="clear" w:pos="425"/>
        </w:tabs>
        <w:spacing w:before="0" w:after="0" w:line="276" w:lineRule="auto"/>
        <w:ind w:left="360" w:hanging="360"/>
        <w:rPr>
          <w:color w:val="262626" w:themeColor="text1" w:themeTint="D9"/>
          <w:szCs w:val="22"/>
        </w:rPr>
      </w:pPr>
      <w:bookmarkStart w:id="3" w:name="_Toc459403224"/>
      <w:r w:rsidRPr="00245D4C">
        <w:rPr>
          <w:color w:val="262626" w:themeColor="text1" w:themeTint="D9"/>
          <w:szCs w:val="22"/>
        </w:rPr>
        <w:t>Read Option Dialog</w:t>
      </w:r>
      <w:bookmarkEnd w:id="3"/>
      <w:r w:rsidRPr="00245D4C">
        <w:rPr>
          <w:color w:val="262626" w:themeColor="text1" w:themeTint="D9"/>
          <w:szCs w:val="22"/>
        </w:rPr>
        <w:t xml:space="preserve"> </w:t>
      </w:r>
    </w:p>
    <w:p w:rsidR="00BC78CE" w:rsidRPr="00245D4C" w:rsidRDefault="00BC78CE" w:rsidP="00BC78CE">
      <w:pPr>
        <w:rPr>
          <w:color w:val="262626" w:themeColor="text1" w:themeTint="D9"/>
        </w:rPr>
      </w:pPr>
      <w:r w:rsidRPr="00245D4C">
        <w:rPr>
          <w:color w:val="262626" w:themeColor="text1" w:themeTint="D9"/>
        </w:rPr>
        <w:t xml:space="preserve">The </w:t>
      </w:r>
      <w:r w:rsidRPr="00245D4C">
        <w:rPr>
          <w:i/>
          <w:color w:val="262626" w:themeColor="text1" w:themeTint="D9"/>
        </w:rPr>
        <w:t>Index Bias Correction</w:t>
      </w:r>
      <w:r w:rsidRPr="00245D4C">
        <w:rPr>
          <w:color w:val="262626" w:themeColor="text1" w:themeTint="D9"/>
        </w:rPr>
        <w:t xml:space="preserve"> option is added as shown below. The user can check the option and click Configure the Gain and Bias correction for selected Indices.</w:t>
      </w:r>
    </w:p>
    <w:p w:rsidR="00BC78CE" w:rsidRPr="00245D4C" w:rsidRDefault="00BC78CE" w:rsidP="00BC78CE">
      <w:pPr>
        <w:rPr>
          <w:color w:val="262626" w:themeColor="text1" w:themeTint="D9"/>
        </w:rPr>
      </w:pPr>
    </w:p>
    <w:p w:rsidR="00BC78CE" w:rsidRPr="00245D4C" w:rsidRDefault="00BC78CE" w:rsidP="00BC78CE">
      <w:pPr>
        <w:jc w:val="center"/>
        <w:rPr>
          <w:color w:val="262626" w:themeColor="text1" w:themeTint="D9"/>
        </w:rPr>
      </w:pPr>
      <w:r w:rsidRPr="00245D4C">
        <w:rPr>
          <w:noProof/>
          <w:color w:val="262626" w:themeColor="text1" w:themeTint="D9"/>
          <w:lang w:eastAsia="en-US"/>
        </w:rPr>
        <w:drawing>
          <wp:inline distT="0" distB="0" distL="0" distR="0" wp14:anchorId="6334055B" wp14:editId="5DBE6F8A">
            <wp:extent cx="3568700" cy="19242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67119" cy="1923425"/>
                    </a:xfrm>
                    <a:prstGeom prst="rect">
                      <a:avLst/>
                    </a:prstGeom>
                  </pic:spPr>
                </pic:pic>
              </a:graphicData>
            </a:graphic>
          </wp:inline>
        </w:drawing>
      </w:r>
    </w:p>
    <w:p w:rsidR="005439C3" w:rsidRPr="00245D4C" w:rsidRDefault="005439C3" w:rsidP="00BC78CE">
      <w:pPr>
        <w:jc w:val="center"/>
        <w:rPr>
          <w:color w:val="262626" w:themeColor="text1" w:themeTint="D9"/>
        </w:rPr>
      </w:pPr>
    </w:p>
    <w:p w:rsidR="005439C3" w:rsidRPr="00245D4C" w:rsidRDefault="005439C3" w:rsidP="005439C3">
      <w:pPr>
        <w:pStyle w:val="Heading2"/>
        <w:numPr>
          <w:ilvl w:val="0"/>
          <w:numId w:val="6"/>
        </w:numPr>
        <w:spacing w:before="0" w:after="0" w:line="276" w:lineRule="auto"/>
        <w:rPr>
          <w:color w:val="262626" w:themeColor="text1" w:themeTint="D9"/>
          <w:szCs w:val="22"/>
        </w:rPr>
      </w:pPr>
      <w:bookmarkStart w:id="4" w:name="_Toc459403225"/>
      <w:r w:rsidRPr="00245D4C">
        <w:rPr>
          <w:color w:val="262626" w:themeColor="text1" w:themeTint="D9"/>
          <w:szCs w:val="22"/>
        </w:rPr>
        <w:t>Index Bias Configuration Dialog</w:t>
      </w:r>
      <w:bookmarkEnd w:id="4"/>
      <w:r w:rsidRPr="00245D4C">
        <w:rPr>
          <w:color w:val="262626" w:themeColor="text1" w:themeTint="D9"/>
          <w:szCs w:val="22"/>
        </w:rPr>
        <w:t xml:space="preserve"> </w:t>
      </w:r>
    </w:p>
    <w:p w:rsidR="005439C3" w:rsidRPr="00245D4C" w:rsidRDefault="005439C3" w:rsidP="005439C3">
      <w:pPr>
        <w:rPr>
          <w:color w:val="262626" w:themeColor="text1" w:themeTint="D9"/>
        </w:rPr>
      </w:pPr>
      <w:r w:rsidRPr="00245D4C">
        <w:rPr>
          <w:color w:val="262626" w:themeColor="text1" w:themeTint="D9"/>
        </w:rPr>
        <w:t xml:space="preserve">A custom list view is implemented displaying a list of the all the Indices where the user can select any Index and configure the </w:t>
      </w:r>
      <w:r w:rsidRPr="00245D4C">
        <w:rPr>
          <w:i/>
          <w:color w:val="262626" w:themeColor="text1" w:themeTint="D9"/>
        </w:rPr>
        <w:t>Gain</w:t>
      </w:r>
      <w:r w:rsidRPr="00245D4C">
        <w:rPr>
          <w:color w:val="262626" w:themeColor="text1" w:themeTint="D9"/>
        </w:rPr>
        <w:t xml:space="preserve"> and </w:t>
      </w:r>
      <w:r w:rsidRPr="00245D4C">
        <w:rPr>
          <w:i/>
          <w:color w:val="262626" w:themeColor="text1" w:themeTint="D9"/>
        </w:rPr>
        <w:t>Bias</w:t>
      </w:r>
      <w:r w:rsidRPr="00245D4C">
        <w:rPr>
          <w:color w:val="262626" w:themeColor="text1" w:themeTint="D9"/>
        </w:rPr>
        <w:t xml:space="preserve"> values for the respective Index</w:t>
      </w:r>
      <w:r w:rsidR="0075361F" w:rsidRPr="00245D4C">
        <w:rPr>
          <w:color w:val="262626" w:themeColor="text1" w:themeTint="D9"/>
        </w:rPr>
        <w:t xml:space="preserve"> and click </w:t>
      </w:r>
      <w:r w:rsidRPr="00245D4C">
        <w:rPr>
          <w:i/>
          <w:iCs/>
          <w:color w:val="262626" w:themeColor="text1" w:themeTint="D9"/>
        </w:rPr>
        <w:t>Apply</w:t>
      </w:r>
      <w:r w:rsidRPr="00245D4C">
        <w:rPr>
          <w:color w:val="262626" w:themeColor="text1" w:themeTint="D9"/>
        </w:rPr>
        <w:t xml:space="preserve"> button to save the selected Indices values and update the Views accordingly. Please note that the Indices configured in Workspace settings, which are in common with the selected (checked) Indices in the “Index Bias Correction” dialog” will only be considered for Bias correction</w:t>
      </w:r>
      <w:r w:rsidR="0075361F" w:rsidRPr="00245D4C">
        <w:rPr>
          <w:color w:val="262626" w:themeColor="text1" w:themeTint="D9"/>
        </w:rPr>
        <w:t>.</w:t>
      </w:r>
    </w:p>
    <w:p w:rsidR="00BC78CE" w:rsidRPr="00245D4C" w:rsidRDefault="00BC78CE" w:rsidP="00BC78CE">
      <w:pPr>
        <w:jc w:val="center"/>
        <w:rPr>
          <w:color w:val="262626" w:themeColor="text1" w:themeTint="D9"/>
        </w:rPr>
      </w:pPr>
    </w:p>
    <w:p w:rsidR="00BC78CE" w:rsidRPr="00245D4C" w:rsidRDefault="00BC78CE" w:rsidP="00BC78CE">
      <w:pPr>
        <w:jc w:val="center"/>
        <w:rPr>
          <w:color w:val="262626" w:themeColor="text1" w:themeTint="D9"/>
        </w:rPr>
      </w:pPr>
      <w:r w:rsidRPr="00245D4C">
        <w:rPr>
          <w:noProof/>
          <w:color w:val="262626" w:themeColor="text1" w:themeTint="D9"/>
          <w:lang w:eastAsia="en-US"/>
        </w:rPr>
        <w:drawing>
          <wp:inline distT="0" distB="0" distL="0" distR="0" wp14:anchorId="68CE39D5" wp14:editId="4A8D7D4A">
            <wp:extent cx="3155950" cy="2797196"/>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61289" cy="2801929"/>
                    </a:xfrm>
                    <a:prstGeom prst="rect">
                      <a:avLst/>
                    </a:prstGeom>
                  </pic:spPr>
                </pic:pic>
              </a:graphicData>
            </a:graphic>
          </wp:inline>
        </w:drawing>
      </w:r>
    </w:p>
    <w:p w:rsidR="00BC78CE" w:rsidRPr="00245D4C" w:rsidRDefault="00BC78CE" w:rsidP="00BC78CE">
      <w:pPr>
        <w:jc w:val="center"/>
        <w:rPr>
          <w:color w:val="262626" w:themeColor="text1" w:themeTint="D9"/>
        </w:rPr>
      </w:pPr>
    </w:p>
    <w:p w:rsidR="00364796" w:rsidRPr="00245D4C" w:rsidRDefault="00364796" w:rsidP="00364796">
      <w:pPr>
        <w:pStyle w:val="Heading2"/>
        <w:numPr>
          <w:ilvl w:val="0"/>
          <w:numId w:val="6"/>
        </w:numPr>
        <w:spacing w:before="0" w:after="0" w:line="276" w:lineRule="auto"/>
        <w:rPr>
          <w:color w:val="262626" w:themeColor="text1" w:themeTint="D9"/>
          <w:szCs w:val="22"/>
        </w:rPr>
      </w:pPr>
      <w:bookmarkStart w:id="5" w:name="_Toc459403226"/>
      <w:r w:rsidRPr="00245D4C">
        <w:rPr>
          <w:color w:val="262626" w:themeColor="text1" w:themeTint="D9"/>
          <w:szCs w:val="22"/>
        </w:rPr>
        <w:t>Update Color Functions</w:t>
      </w:r>
      <w:bookmarkEnd w:id="5"/>
      <w:r w:rsidRPr="00245D4C">
        <w:rPr>
          <w:color w:val="262626" w:themeColor="text1" w:themeTint="D9"/>
          <w:szCs w:val="22"/>
        </w:rPr>
        <w:t xml:space="preserve"> </w:t>
      </w:r>
    </w:p>
    <w:p w:rsidR="005A2685" w:rsidRPr="00245D4C" w:rsidRDefault="00BC78CE" w:rsidP="00364796">
      <w:pPr>
        <w:rPr>
          <w:color w:val="262626" w:themeColor="text1" w:themeTint="D9"/>
        </w:rPr>
      </w:pPr>
      <w:r w:rsidRPr="00245D4C">
        <w:rPr>
          <w:color w:val="262626" w:themeColor="text1" w:themeTint="D9"/>
        </w:rPr>
        <w:t>The C</w:t>
      </w:r>
      <w:r w:rsidR="005A2685" w:rsidRPr="00245D4C">
        <w:rPr>
          <w:color w:val="262626" w:themeColor="text1" w:themeTint="D9"/>
        </w:rPr>
        <w:t>olor Functions Lookup table</w:t>
      </w:r>
      <w:r w:rsidR="00033C8A" w:rsidRPr="00245D4C">
        <w:rPr>
          <w:color w:val="262626" w:themeColor="text1" w:themeTint="D9"/>
        </w:rPr>
        <w:t xml:space="preserve"> is updated</w:t>
      </w:r>
      <w:r w:rsidR="00364796" w:rsidRPr="00245D4C">
        <w:rPr>
          <w:color w:val="262626" w:themeColor="text1" w:themeTint="D9"/>
        </w:rPr>
        <w:t xml:space="preserve"> to support the </w:t>
      </w:r>
      <w:r w:rsidR="00F173B6" w:rsidRPr="00245D4C">
        <w:rPr>
          <w:color w:val="262626" w:themeColor="text1" w:themeTint="D9"/>
        </w:rPr>
        <w:t xml:space="preserve">calculation of the </w:t>
      </w:r>
      <w:r w:rsidR="0010455D" w:rsidRPr="00245D4C">
        <w:rPr>
          <w:color w:val="262626" w:themeColor="text1" w:themeTint="D9"/>
        </w:rPr>
        <w:t>Biased</w:t>
      </w:r>
      <w:r w:rsidR="00F173B6" w:rsidRPr="00245D4C">
        <w:rPr>
          <w:color w:val="262626" w:themeColor="text1" w:themeTint="D9"/>
        </w:rPr>
        <w:t xml:space="preserve"> Indices.</w:t>
      </w:r>
      <w:r w:rsidR="005A2685" w:rsidRPr="00245D4C">
        <w:rPr>
          <w:color w:val="262626" w:themeColor="text1" w:themeTint="D9"/>
        </w:rPr>
        <w:t xml:space="preserve"> </w:t>
      </w:r>
    </w:p>
    <w:p w:rsidR="00F173B6" w:rsidRPr="00245D4C" w:rsidRDefault="00F173B6" w:rsidP="00364796">
      <w:pPr>
        <w:rPr>
          <w:color w:val="262626" w:themeColor="text1" w:themeTint="D9"/>
        </w:rPr>
      </w:pPr>
    </w:p>
    <w:p w:rsidR="00F173B6" w:rsidRPr="00245D4C" w:rsidRDefault="00F173B6" w:rsidP="00F173B6">
      <w:pPr>
        <w:pStyle w:val="Heading2"/>
        <w:numPr>
          <w:ilvl w:val="0"/>
          <w:numId w:val="6"/>
        </w:numPr>
        <w:spacing w:before="0" w:after="0" w:line="276" w:lineRule="auto"/>
        <w:rPr>
          <w:color w:val="262626" w:themeColor="text1" w:themeTint="D9"/>
          <w:szCs w:val="22"/>
        </w:rPr>
      </w:pPr>
      <w:bookmarkStart w:id="6" w:name="_Toc459403227"/>
      <w:r w:rsidRPr="00245D4C">
        <w:rPr>
          <w:color w:val="262626" w:themeColor="text1" w:themeTint="D9"/>
          <w:szCs w:val="22"/>
        </w:rPr>
        <w:t>Serialization</w:t>
      </w:r>
      <w:bookmarkEnd w:id="6"/>
    </w:p>
    <w:p w:rsidR="004A1921" w:rsidRPr="00245D4C" w:rsidRDefault="00F173B6" w:rsidP="005A2685">
      <w:pPr>
        <w:spacing w:line="276" w:lineRule="auto"/>
        <w:rPr>
          <w:color w:val="262626" w:themeColor="text1" w:themeTint="D9"/>
        </w:rPr>
      </w:pPr>
      <w:r w:rsidRPr="00245D4C">
        <w:rPr>
          <w:color w:val="262626" w:themeColor="text1" w:themeTint="D9"/>
        </w:rPr>
        <w:t>The configured Index correction values are serialized into the workspace and Job file accordingly.</w:t>
      </w:r>
    </w:p>
    <w:p w:rsidR="00F173B6" w:rsidRPr="00245D4C" w:rsidRDefault="00F173B6" w:rsidP="00F173B6">
      <w:pPr>
        <w:pStyle w:val="Heading2"/>
        <w:numPr>
          <w:ilvl w:val="0"/>
          <w:numId w:val="6"/>
        </w:numPr>
        <w:tabs>
          <w:tab w:val="left" w:pos="425"/>
        </w:tabs>
        <w:spacing w:before="0" w:after="0" w:line="276" w:lineRule="auto"/>
        <w:ind w:left="625" w:hanging="625"/>
        <w:rPr>
          <w:color w:val="262626" w:themeColor="text1" w:themeTint="D9"/>
          <w:szCs w:val="22"/>
        </w:rPr>
      </w:pPr>
      <w:bookmarkStart w:id="7" w:name="_Toc459403228"/>
      <w:r w:rsidRPr="00245D4C">
        <w:rPr>
          <w:color w:val="262626" w:themeColor="text1" w:themeTint="D9"/>
          <w:szCs w:val="22"/>
        </w:rPr>
        <w:t>View</w:t>
      </w:r>
      <w:r w:rsidR="00245D4C" w:rsidRPr="00245D4C">
        <w:rPr>
          <w:color w:val="262626" w:themeColor="text1" w:themeTint="D9"/>
          <w:szCs w:val="22"/>
        </w:rPr>
        <w:t>s</w:t>
      </w:r>
      <w:bookmarkEnd w:id="7"/>
      <w:r w:rsidRPr="00245D4C">
        <w:rPr>
          <w:color w:val="262626" w:themeColor="text1" w:themeTint="D9"/>
          <w:szCs w:val="22"/>
        </w:rPr>
        <w:t xml:space="preserve"> </w:t>
      </w:r>
    </w:p>
    <w:p w:rsidR="004B5CEF" w:rsidRPr="00245D4C" w:rsidRDefault="00F173B6" w:rsidP="005A2685">
      <w:pPr>
        <w:spacing w:line="276" w:lineRule="auto"/>
        <w:rPr>
          <w:color w:val="262626" w:themeColor="text1" w:themeTint="D9"/>
        </w:rPr>
      </w:pPr>
      <w:r w:rsidRPr="00245D4C">
        <w:rPr>
          <w:color w:val="262626" w:themeColor="text1" w:themeTint="D9"/>
        </w:rPr>
        <w:t>Based on the selection of Bias Corrected Indices, the CDTV</w:t>
      </w:r>
      <w:r w:rsidR="00245D4C" w:rsidRPr="00245D4C">
        <w:rPr>
          <w:color w:val="262626" w:themeColor="text1" w:themeTint="D9"/>
        </w:rPr>
        <w:t xml:space="preserve">, EZ View and Trend Plot </w:t>
      </w:r>
      <w:r w:rsidRPr="00245D4C">
        <w:rPr>
          <w:color w:val="262626" w:themeColor="text1" w:themeTint="D9"/>
        </w:rPr>
        <w:t xml:space="preserve">will </w:t>
      </w:r>
      <w:r w:rsidR="004B5CEF" w:rsidRPr="00245D4C">
        <w:rPr>
          <w:color w:val="262626" w:themeColor="text1" w:themeTint="D9"/>
        </w:rPr>
        <w:t>display the respective Indices Labeled with * notation as shown below.</w:t>
      </w:r>
    </w:p>
    <w:p w:rsidR="00F173B6" w:rsidRPr="00245D4C" w:rsidRDefault="004B5CEF" w:rsidP="005A2685">
      <w:pPr>
        <w:spacing w:line="276" w:lineRule="auto"/>
        <w:rPr>
          <w:color w:val="262626" w:themeColor="text1" w:themeTint="D9"/>
        </w:rPr>
      </w:pPr>
      <w:r w:rsidRPr="00245D4C">
        <w:rPr>
          <w:color w:val="262626" w:themeColor="text1" w:themeTint="D9"/>
        </w:rPr>
        <w:t xml:space="preserve"> </w:t>
      </w:r>
    </w:p>
    <w:p w:rsidR="00F173B6" w:rsidRPr="00245D4C" w:rsidRDefault="00F173B6" w:rsidP="005A2685">
      <w:pPr>
        <w:spacing w:line="276" w:lineRule="auto"/>
        <w:rPr>
          <w:color w:val="262626" w:themeColor="text1" w:themeTint="D9"/>
        </w:rPr>
      </w:pPr>
      <w:r w:rsidRPr="00245D4C">
        <w:rPr>
          <w:noProof/>
          <w:color w:val="262626" w:themeColor="text1" w:themeTint="D9"/>
          <w:lang w:eastAsia="en-US"/>
        </w:rPr>
        <w:drawing>
          <wp:inline distT="0" distB="0" distL="0" distR="0" wp14:anchorId="0595B31A" wp14:editId="5B04A6BD">
            <wp:extent cx="5759450" cy="3599653"/>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4721" cy="3602947"/>
                    </a:xfrm>
                    <a:prstGeom prst="rect">
                      <a:avLst/>
                    </a:prstGeom>
                  </pic:spPr>
                </pic:pic>
              </a:graphicData>
            </a:graphic>
          </wp:inline>
        </w:drawing>
      </w:r>
    </w:p>
    <w:p w:rsidR="004A1921" w:rsidRPr="00245D4C" w:rsidRDefault="004A1921" w:rsidP="005A2685">
      <w:pPr>
        <w:spacing w:line="276" w:lineRule="auto"/>
        <w:rPr>
          <w:color w:val="262626" w:themeColor="text1" w:themeTint="D9"/>
        </w:rPr>
      </w:pPr>
    </w:p>
    <w:p w:rsidR="00245D4C" w:rsidRDefault="00245D4C" w:rsidP="005A2685">
      <w:pPr>
        <w:spacing w:line="276" w:lineRule="auto"/>
        <w:rPr>
          <w:color w:val="262626" w:themeColor="text1" w:themeTint="D9"/>
        </w:rPr>
      </w:pPr>
      <w:r w:rsidRPr="00245D4C">
        <w:rPr>
          <w:noProof/>
          <w:color w:val="262626" w:themeColor="text1" w:themeTint="D9"/>
          <w:lang w:eastAsia="en-US"/>
        </w:rPr>
        <w:drawing>
          <wp:inline distT="0" distB="0" distL="0" distR="0" wp14:anchorId="3A1F60F3" wp14:editId="60D71AF9">
            <wp:extent cx="5731510" cy="358219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582194"/>
                    </a:xfrm>
                    <a:prstGeom prst="rect">
                      <a:avLst/>
                    </a:prstGeom>
                  </pic:spPr>
                </pic:pic>
              </a:graphicData>
            </a:graphic>
          </wp:inline>
        </w:drawing>
      </w:r>
    </w:p>
    <w:p w:rsidR="00245D4C" w:rsidRDefault="00245D4C">
      <w:pPr>
        <w:widowControl/>
        <w:jc w:val="left"/>
        <w:rPr>
          <w:color w:val="262626" w:themeColor="text1" w:themeTint="D9"/>
        </w:rPr>
      </w:pPr>
      <w:r>
        <w:rPr>
          <w:color w:val="262626" w:themeColor="text1" w:themeTint="D9"/>
        </w:rPr>
        <w:br w:type="page"/>
      </w:r>
    </w:p>
    <w:p w:rsidR="00245D4C" w:rsidRDefault="00245D4C" w:rsidP="005A2685">
      <w:pPr>
        <w:spacing w:line="276" w:lineRule="auto"/>
        <w:rPr>
          <w:color w:val="262626" w:themeColor="text1" w:themeTint="D9"/>
        </w:rPr>
      </w:pPr>
      <w:r w:rsidRPr="00245D4C">
        <w:rPr>
          <w:noProof/>
          <w:color w:val="262626" w:themeColor="text1" w:themeTint="D9"/>
          <w:lang w:eastAsia="en-US"/>
        </w:rPr>
        <w:drawing>
          <wp:inline distT="0" distB="0" distL="0" distR="0" wp14:anchorId="4742FD40" wp14:editId="6FAD1510">
            <wp:extent cx="5731510" cy="3582194"/>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582194"/>
                    </a:xfrm>
                    <a:prstGeom prst="rect">
                      <a:avLst/>
                    </a:prstGeom>
                  </pic:spPr>
                </pic:pic>
              </a:graphicData>
            </a:graphic>
          </wp:inline>
        </w:drawing>
      </w:r>
    </w:p>
    <w:p w:rsidR="00112804" w:rsidRDefault="00112804" w:rsidP="005A2685">
      <w:pPr>
        <w:spacing w:line="276" w:lineRule="auto"/>
        <w:rPr>
          <w:color w:val="262626" w:themeColor="text1" w:themeTint="D9"/>
        </w:rPr>
      </w:pPr>
    </w:p>
    <w:p w:rsidR="00112804" w:rsidRPr="00245D4C" w:rsidRDefault="00112804" w:rsidP="00112804">
      <w:pPr>
        <w:spacing w:line="276" w:lineRule="auto"/>
        <w:jc w:val="center"/>
        <w:rPr>
          <w:color w:val="262626" w:themeColor="text1" w:themeTint="D9"/>
        </w:rPr>
      </w:pPr>
      <w:r>
        <w:rPr>
          <w:color w:val="262626" w:themeColor="text1" w:themeTint="D9"/>
        </w:rPr>
        <w:t>--------*---------</w:t>
      </w:r>
    </w:p>
    <w:sectPr w:rsidR="00112804" w:rsidRPr="00245D4C">
      <w:pgSz w:w="11906" w:h="16838"/>
      <w:pgMar w:top="1440" w:right="1440" w:bottom="1440" w:left="1440" w:header="850" w:footer="99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A321C"/>
    <w:multiLevelType w:val="multilevel"/>
    <w:tmpl w:val="1DFA321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234942"/>
    <w:multiLevelType w:val="multilevel"/>
    <w:tmpl w:val="1E23494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427C37"/>
    <w:multiLevelType w:val="hybridMultilevel"/>
    <w:tmpl w:val="37E4B2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093BDA"/>
    <w:multiLevelType w:val="hybridMultilevel"/>
    <w:tmpl w:val="90DCB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E7BF3"/>
    <w:multiLevelType w:val="multilevel"/>
    <w:tmpl w:val="391E7B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98378F"/>
    <w:multiLevelType w:val="multilevel"/>
    <w:tmpl w:val="409837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AD75FF"/>
    <w:multiLevelType w:val="multilevel"/>
    <w:tmpl w:val="47AD75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8E2C30"/>
    <w:multiLevelType w:val="multilevel"/>
    <w:tmpl w:val="578E2C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78E2D0B"/>
    <w:multiLevelType w:val="multilevel"/>
    <w:tmpl w:val="1354D662"/>
    <w:lvl w:ilvl="0">
      <w:start w:val="1"/>
      <w:numFmt w:val="lowerLetter"/>
      <w:lvlText w:val="%1)"/>
      <w:lvlJc w:val="left"/>
      <w:pPr>
        <w:tabs>
          <w:tab w:val="num" w:pos="425"/>
        </w:tabs>
        <w:ind w:left="425" w:hanging="425"/>
      </w:pPr>
      <w:rPr>
        <w:rFonts w:hint="default"/>
        <w:b/>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9" w15:restartNumberingAfterBreak="0">
    <w:nsid w:val="578EFB28"/>
    <w:multiLevelType w:val="multilevel"/>
    <w:tmpl w:val="9C8895C8"/>
    <w:lvl w:ilvl="0">
      <w:start w:val="1"/>
      <w:numFmt w:val="decimal"/>
      <w:lvlText w:val="4.%1."/>
      <w:lvlJc w:val="left"/>
      <w:pPr>
        <w:tabs>
          <w:tab w:val="num" w:pos="425"/>
        </w:tabs>
        <w:ind w:left="425" w:hanging="425"/>
      </w:pPr>
      <w:rPr>
        <w:rFonts w:asciiTheme="minorHAnsi" w:eastAsia="SimSun" w:hAnsiTheme="minorHAnsi" w:cs="SimSun"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10" w15:restartNumberingAfterBreak="0">
    <w:nsid w:val="7153456C"/>
    <w:multiLevelType w:val="multilevel"/>
    <w:tmpl w:val="7153456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15:restartNumberingAfterBreak="0">
    <w:nsid w:val="76101784"/>
    <w:multiLevelType w:val="multilevel"/>
    <w:tmpl w:val="76101784"/>
    <w:lvl w:ilvl="0">
      <w:start w:val="1"/>
      <w:numFmt w:val="lowerLetter"/>
      <w:lvlText w:val="%1)"/>
      <w:lvlJc w:val="left"/>
      <w:pPr>
        <w:ind w:left="114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10"/>
  </w:num>
  <w:num w:numId="4">
    <w:abstractNumId w:val="11"/>
  </w:num>
  <w:num w:numId="5">
    <w:abstractNumId w:val="1"/>
  </w:num>
  <w:num w:numId="6">
    <w:abstractNumId w:val="8"/>
  </w:num>
  <w:num w:numId="7">
    <w:abstractNumId w:val="4"/>
  </w:num>
  <w:num w:numId="8">
    <w:abstractNumId w:val="0"/>
  </w:num>
  <w:num w:numId="9">
    <w:abstractNumId w:val="6"/>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698"/>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2C5"/>
    <w:rsid w:val="00004CED"/>
    <w:rsid w:val="00015792"/>
    <w:rsid w:val="00033C8A"/>
    <w:rsid w:val="00035B14"/>
    <w:rsid w:val="000414A2"/>
    <w:rsid w:val="00050CD7"/>
    <w:rsid w:val="00063930"/>
    <w:rsid w:val="00070BF5"/>
    <w:rsid w:val="000830DD"/>
    <w:rsid w:val="000856DA"/>
    <w:rsid w:val="0009433D"/>
    <w:rsid w:val="000C5906"/>
    <w:rsid w:val="000F16E9"/>
    <w:rsid w:val="0010455D"/>
    <w:rsid w:val="00106478"/>
    <w:rsid w:val="00112804"/>
    <w:rsid w:val="00113E3F"/>
    <w:rsid w:val="00137A76"/>
    <w:rsid w:val="00166BAD"/>
    <w:rsid w:val="00167DF3"/>
    <w:rsid w:val="001729DF"/>
    <w:rsid w:val="00172A27"/>
    <w:rsid w:val="001B6FDA"/>
    <w:rsid w:val="001D3A7F"/>
    <w:rsid w:val="001D4047"/>
    <w:rsid w:val="001D4824"/>
    <w:rsid w:val="001E003E"/>
    <w:rsid w:val="00205133"/>
    <w:rsid w:val="00214940"/>
    <w:rsid w:val="00222E84"/>
    <w:rsid w:val="0023589D"/>
    <w:rsid w:val="00245D4C"/>
    <w:rsid w:val="0025222A"/>
    <w:rsid w:val="002604CE"/>
    <w:rsid w:val="00275B1C"/>
    <w:rsid w:val="002762D3"/>
    <w:rsid w:val="002A357B"/>
    <w:rsid w:val="002B4B8E"/>
    <w:rsid w:val="002D1AC6"/>
    <w:rsid w:val="002D6486"/>
    <w:rsid w:val="002E390E"/>
    <w:rsid w:val="002E4BB2"/>
    <w:rsid w:val="002F0885"/>
    <w:rsid w:val="003122D1"/>
    <w:rsid w:val="003307AF"/>
    <w:rsid w:val="003324E3"/>
    <w:rsid w:val="0033495C"/>
    <w:rsid w:val="00334B5E"/>
    <w:rsid w:val="00342E28"/>
    <w:rsid w:val="00351738"/>
    <w:rsid w:val="0036381E"/>
    <w:rsid w:val="00364796"/>
    <w:rsid w:val="00371458"/>
    <w:rsid w:val="0039729B"/>
    <w:rsid w:val="003A3500"/>
    <w:rsid w:val="003D46A2"/>
    <w:rsid w:val="003E78EE"/>
    <w:rsid w:val="004263C7"/>
    <w:rsid w:val="004301C4"/>
    <w:rsid w:val="00456934"/>
    <w:rsid w:val="004570C8"/>
    <w:rsid w:val="004903BD"/>
    <w:rsid w:val="004943C7"/>
    <w:rsid w:val="004A1921"/>
    <w:rsid w:val="004A3FD4"/>
    <w:rsid w:val="004B5CEF"/>
    <w:rsid w:val="004C0DE6"/>
    <w:rsid w:val="004E5E76"/>
    <w:rsid w:val="00504AA7"/>
    <w:rsid w:val="00510531"/>
    <w:rsid w:val="00523C45"/>
    <w:rsid w:val="00535152"/>
    <w:rsid w:val="005439C3"/>
    <w:rsid w:val="00561FBC"/>
    <w:rsid w:val="00567E4B"/>
    <w:rsid w:val="0058667F"/>
    <w:rsid w:val="005926B4"/>
    <w:rsid w:val="005A2685"/>
    <w:rsid w:val="005A7759"/>
    <w:rsid w:val="005C7996"/>
    <w:rsid w:val="005D4F03"/>
    <w:rsid w:val="005E2102"/>
    <w:rsid w:val="005E2C0A"/>
    <w:rsid w:val="005E4A32"/>
    <w:rsid w:val="005F07DD"/>
    <w:rsid w:val="0060170C"/>
    <w:rsid w:val="0061596A"/>
    <w:rsid w:val="006217E1"/>
    <w:rsid w:val="00645B62"/>
    <w:rsid w:val="00655748"/>
    <w:rsid w:val="0069031D"/>
    <w:rsid w:val="0069199C"/>
    <w:rsid w:val="00693162"/>
    <w:rsid w:val="006D16B6"/>
    <w:rsid w:val="006D3CD9"/>
    <w:rsid w:val="00702287"/>
    <w:rsid w:val="00730C2B"/>
    <w:rsid w:val="007464EF"/>
    <w:rsid w:val="0075361F"/>
    <w:rsid w:val="00770A9F"/>
    <w:rsid w:val="007D056D"/>
    <w:rsid w:val="007F71D4"/>
    <w:rsid w:val="007F792A"/>
    <w:rsid w:val="00814663"/>
    <w:rsid w:val="008256F8"/>
    <w:rsid w:val="0082717D"/>
    <w:rsid w:val="0083250B"/>
    <w:rsid w:val="00832B2D"/>
    <w:rsid w:val="00836AF4"/>
    <w:rsid w:val="00843E81"/>
    <w:rsid w:val="00875083"/>
    <w:rsid w:val="008846F4"/>
    <w:rsid w:val="00885842"/>
    <w:rsid w:val="008963EC"/>
    <w:rsid w:val="008E6EA0"/>
    <w:rsid w:val="008F25A9"/>
    <w:rsid w:val="00917DC0"/>
    <w:rsid w:val="00930197"/>
    <w:rsid w:val="009422B6"/>
    <w:rsid w:val="00952EFE"/>
    <w:rsid w:val="00957E8A"/>
    <w:rsid w:val="00963279"/>
    <w:rsid w:val="009667B2"/>
    <w:rsid w:val="009670EB"/>
    <w:rsid w:val="009711D0"/>
    <w:rsid w:val="009763D4"/>
    <w:rsid w:val="00994C70"/>
    <w:rsid w:val="009A2F28"/>
    <w:rsid w:val="009A3565"/>
    <w:rsid w:val="009B757D"/>
    <w:rsid w:val="009D0E9B"/>
    <w:rsid w:val="009D42D3"/>
    <w:rsid w:val="009F765F"/>
    <w:rsid w:val="00A52B61"/>
    <w:rsid w:val="00A531DB"/>
    <w:rsid w:val="00A56BC2"/>
    <w:rsid w:val="00A60BA0"/>
    <w:rsid w:val="00A66093"/>
    <w:rsid w:val="00A832F5"/>
    <w:rsid w:val="00A83663"/>
    <w:rsid w:val="00A90C87"/>
    <w:rsid w:val="00AA0EA6"/>
    <w:rsid w:val="00AA2C76"/>
    <w:rsid w:val="00AD15A9"/>
    <w:rsid w:val="00AE4664"/>
    <w:rsid w:val="00AE6EC4"/>
    <w:rsid w:val="00AF010C"/>
    <w:rsid w:val="00B038F0"/>
    <w:rsid w:val="00B07FB9"/>
    <w:rsid w:val="00B26E79"/>
    <w:rsid w:val="00B2781D"/>
    <w:rsid w:val="00B54889"/>
    <w:rsid w:val="00B67C21"/>
    <w:rsid w:val="00B73977"/>
    <w:rsid w:val="00B75656"/>
    <w:rsid w:val="00BB0FFA"/>
    <w:rsid w:val="00BB1DBB"/>
    <w:rsid w:val="00BC21C2"/>
    <w:rsid w:val="00BC3BAA"/>
    <w:rsid w:val="00BC5A4F"/>
    <w:rsid w:val="00BC78CE"/>
    <w:rsid w:val="00BD4DFA"/>
    <w:rsid w:val="00BE3635"/>
    <w:rsid w:val="00BE65A5"/>
    <w:rsid w:val="00BF506E"/>
    <w:rsid w:val="00C06FF8"/>
    <w:rsid w:val="00C2281E"/>
    <w:rsid w:val="00C23815"/>
    <w:rsid w:val="00C426D6"/>
    <w:rsid w:val="00C8242B"/>
    <w:rsid w:val="00C96E2D"/>
    <w:rsid w:val="00CA583D"/>
    <w:rsid w:val="00CB4587"/>
    <w:rsid w:val="00CC323F"/>
    <w:rsid w:val="00CD544D"/>
    <w:rsid w:val="00CF2784"/>
    <w:rsid w:val="00D0395E"/>
    <w:rsid w:val="00D21431"/>
    <w:rsid w:val="00D24699"/>
    <w:rsid w:val="00D24719"/>
    <w:rsid w:val="00D34B94"/>
    <w:rsid w:val="00D40CCC"/>
    <w:rsid w:val="00D52988"/>
    <w:rsid w:val="00D57E4A"/>
    <w:rsid w:val="00D67537"/>
    <w:rsid w:val="00D75769"/>
    <w:rsid w:val="00D83595"/>
    <w:rsid w:val="00DB27CE"/>
    <w:rsid w:val="00DB7F27"/>
    <w:rsid w:val="00DC1B19"/>
    <w:rsid w:val="00DC3B8E"/>
    <w:rsid w:val="00DC414B"/>
    <w:rsid w:val="00DC7071"/>
    <w:rsid w:val="00DF0951"/>
    <w:rsid w:val="00DF6F8B"/>
    <w:rsid w:val="00E25F40"/>
    <w:rsid w:val="00E35A28"/>
    <w:rsid w:val="00E365D1"/>
    <w:rsid w:val="00E37587"/>
    <w:rsid w:val="00E37CB8"/>
    <w:rsid w:val="00E63A1A"/>
    <w:rsid w:val="00E66080"/>
    <w:rsid w:val="00E819B1"/>
    <w:rsid w:val="00E86963"/>
    <w:rsid w:val="00E8795D"/>
    <w:rsid w:val="00E979B6"/>
    <w:rsid w:val="00EC08B9"/>
    <w:rsid w:val="00EC7891"/>
    <w:rsid w:val="00ED0C06"/>
    <w:rsid w:val="00F14E96"/>
    <w:rsid w:val="00F173B6"/>
    <w:rsid w:val="00F3209F"/>
    <w:rsid w:val="00F421A5"/>
    <w:rsid w:val="00F43D50"/>
    <w:rsid w:val="00F5182F"/>
    <w:rsid w:val="00F51C1C"/>
    <w:rsid w:val="00F64CB1"/>
    <w:rsid w:val="00F86130"/>
    <w:rsid w:val="00F9117E"/>
    <w:rsid w:val="00F9150C"/>
    <w:rsid w:val="00F96A95"/>
    <w:rsid w:val="00FA6198"/>
    <w:rsid w:val="00FA66DB"/>
    <w:rsid w:val="00FC2957"/>
    <w:rsid w:val="00FD1752"/>
    <w:rsid w:val="00FD73AD"/>
    <w:rsid w:val="00FE1554"/>
    <w:rsid w:val="00FF7A0C"/>
    <w:rsid w:val="00FF7EB3"/>
    <w:rsid w:val="0106443D"/>
    <w:rsid w:val="01EE0B37"/>
    <w:rsid w:val="029A22D5"/>
    <w:rsid w:val="02B73E03"/>
    <w:rsid w:val="02CC0525"/>
    <w:rsid w:val="02DC2D3E"/>
    <w:rsid w:val="033546D2"/>
    <w:rsid w:val="038D72DF"/>
    <w:rsid w:val="03AD5615"/>
    <w:rsid w:val="0506494D"/>
    <w:rsid w:val="053A60CD"/>
    <w:rsid w:val="0574717F"/>
    <w:rsid w:val="068A7C0B"/>
    <w:rsid w:val="06D303C0"/>
    <w:rsid w:val="077324C8"/>
    <w:rsid w:val="07A73C1C"/>
    <w:rsid w:val="07FF7B2E"/>
    <w:rsid w:val="084F3130"/>
    <w:rsid w:val="094B7B50"/>
    <w:rsid w:val="0984572B"/>
    <w:rsid w:val="09BF428B"/>
    <w:rsid w:val="09C32C91"/>
    <w:rsid w:val="0AC402B6"/>
    <w:rsid w:val="0B1D7A4B"/>
    <w:rsid w:val="0B844E71"/>
    <w:rsid w:val="0BB66944"/>
    <w:rsid w:val="0D0578EB"/>
    <w:rsid w:val="0D2B1D29"/>
    <w:rsid w:val="0DD54741"/>
    <w:rsid w:val="0E0A3916"/>
    <w:rsid w:val="0E2E2851"/>
    <w:rsid w:val="0E411871"/>
    <w:rsid w:val="0E891C66"/>
    <w:rsid w:val="0EB74D33"/>
    <w:rsid w:val="0ECC1455"/>
    <w:rsid w:val="0F075DB7"/>
    <w:rsid w:val="0F1B4A58"/>
    <w:rsid w:val="0F1C24D9"/>
    <w:rsid w:val="0F46111F"/>
    <w:rsid w:val="0F9878A4"/>
    <w:rsid w:val="10453240"/>
    <w:rsid w:val="10B10371"/>
    <w:rsid w:val="10C1060B"/>
    <w:rsid w:val="111B419D"/>
    <w:rsid w:val="11AD150E"/>
    <w:rsid w:val="11E47469"/>
    <w:rsid w:val="12475E89"/>
    <w:rsid w:val="13057541"/>
    <w:rsid w:val="1316305E"/>
    <w:rsid w:val="13216E71"/>
    <w:rsid w:val="13795301"/>
    <w:rsid w:val="142E3B2B"/>
    <w:rsid w:val="14337FB3"/>
    <w:rsid w:val="14815B34"/>
    <w:rsid w:val="148A09C2"/>
    <w:rsid w:val="148B0641"/>
    <w:rsid w:val="14904AC9"/>
    <w:rsid w:val="14F03BE9"/>
    <w:rsid w:val="15242DBE"/>
    <w:rsid w:val="155A5817"/>
    <w:rsid w:val="15AA0A99"/>
    <w:rsid w:val="15C838CC"/>
    <w:rsid w:val="15CF79D4"/>
    <w:rsid w:val="160F4041"/>
    <w:rsid w:val="163141F5"/>
    <w:rsid w:val="16332F7C"/>
    <w:rsid w:val="1636067D"/>
    <w:rsid w:val="168C360A"/>
    <w:rsid w:val="169F00AC"/>
    <w:rsid w:val="170053D3"/>
    <w:rsid w:val="171F05FA"/>
    <w:rsid w:val="174278B6"/>
    <w:rsid w:val="18A26578"/>
    <w:rsid w:val="18F40581"/>
    <w:rsid w:val="19162CB4"/>
    <w:rsid w:val="19430300"/>
    <w:rsid w:val="19453803"/>
    <w:rsid w:val="1A404D20"/>
    <w:rsid w:val="1AA3373F"/>
    <w:rsid w:val="1AE74234"/>
    <w:rsid w:val="1B1B2104"/>
    <w:rsid w:val="1B5E3E72"/>
    <w:rsid w:val="1B83082F"/>
    <w:rsid w:val="1B8340B2"/>
    <w:rsid w:val="1BDB6CBF"/>
    <w:rsid w:val="1C060E08"/>
    <w:rsid w:val="1C9D2600"/>
    <w:rsid w:val="1D1F18D5"/>
    <w:rsid w:val="1D3923CF"/>
    <w:rsid w:val="1D6E4ED7"/>
    <w:rsid w:val="1D8D798A"/>
    <w:rsid w:val="1E862121"/>
    <w:rsid w:val="1EBD007C"/>
    <w:rsid w:val="1EC91910"/>
    <w:rsid w:val="1F9A41E7"/>
    <w:rsid w:val="20EF7097"/>
    <w:rsid w:val="21C328F3"/>
    <w:rsid w:val="21CB1EFE"/>
    <w:rsid w:val="21DA2518"/>
    <w:rsid w:val="22257114"/>
    <w:rsid w:val="22264B96"/>
    <w:rsid w:val="22FD1376"/>
    <w:rsid w:val="23510E00"/>
    <w:rsid w:val="23A25387"/>
    <w:rsid w:val="24940192"/>
    <w:rsid w:val="25040446"/>
    <w:rsid w:val="251870E7"/>
    <w:rsid w:val="25194B68"/>
    <w:rsid w:val="25602D5E"/>
    <w:rsid w:val="259A1C3E"/>
    <w:rsid w:val="25C50504"/>
    <w:rsid w:val="25E60A39"/>
    <w:rsid w:val="273C6DEC"/>
    <w:rsid w:val="27470A00"/>
    <w:rsid w:val="27486482"/>
    <w:rsid w:val="27617B31"/>
    <w:rsid w:val="27B60CB4"/>
    <w:rsid w:val="28405395"/>
    <w:rsid w:val="284B3726"/>
    <w:rsid w:val="28A450B9"/>
    <w:rsid w:val="28E107A2"/>
    <w:rsid w:val="29D06DA5"/>
    <w:rsid w:val="29E87CCF"/>
    <w:rsid w:val="2A687324"/>
    <w:rsid w:val="2A847B4D"/>
    <w:rsid w:val="2ABC352B"/>
    <w:rsid w:val="2B347CF1"/>
    <w:rsid w:val="2BC01AD4"/>
    <w:rsid w:val="2BC639DD"/>
    <w:rsid w:val="2BCC1169"/>
    <w:rsid w:val="2CCB6B0E"/>
    <w:rsid w:val="2CED1241"/>
    <w:rsid w:val="2D067BEC"/>
    <w:rsid w:val="2D855F3C"/>
    <w:rsid w:val="2E280FC9"/>
    <w:rsid w:val="2E396CE5"/>
    <w:rsid w:val="2E922BF6"/>
    <w:rsid w:val="2EFA1321"/>
    <w:rsid w:val="2F363704"/>
    <w:rsid w:val="2F6E5A5D"/>
    <w:rsid w:val="2FB20AD0"/>
    <w:rsid w:val="2FB51A54"/>
    <w:rsid w:val="2FEA0C29"/>
    <w:rsid w:val="308D1737"/>
    <w:rsid w:val="30E41D85"/>
    <w:rsid w:val="31507277"/>
    <w:rsid w:val="31C35F31"/>
    <w:rsid w:val="3218123E"/>
    <w:rsid w:val="32393971"/>
    <w:rsid w:val="325F7434"/>
    <w:rsid w:val="333D1021"/>
    <w:rsid w:val="33A20D45"/>
    <w:rsid w:val="33B40C5F"/>
    <w:rsid w:val="33B82EE9"/>
    <w:rsid w:val="34961252"/>
    <w:rsid w:val="35EE2B08"/>
    <w:rsid w:val="35F36F90"/>
    <w:rsid w:val="3629746A"/>
    <w:rsid w:val="367F45F6"/>
    <w:rsid w:val="36E3431A"/>
    <w:rsid w:val="37A46956"/>
    <w:rsid w:val="37B54672"/>
    <w:rsid w:val="380E0584"/>
    <w:rsid w:val="39627BB1"/>
    <w:rsid w:val="39630EB6"/>
    <w:rsid w:val="39CD2AE4"/>
    <w:rsid w:val="39DA4378"/>
    <w:rsid w:val="39E34C87"/>
    <w:rsid w:val="39FF0D34"/>
    <w:rsid w:val="3A1A2BE3"/>
    <w:rsid w:val="3A1C60E6"/>
    <w:rsid w:val="3A201269"/>
    <w:rsid w:val="3A5F7E54"/>
    <w:rsid w:val="3A825A8A"/>
    <w:rsid w:val="3B977B51"/>
    <w:rsid w:val="3C487974"/>
    <w:rsid w:val="3C595690"/>
    <w:rsid w:val="3C712D37"/>
    <w:rsid w:val="3D41598E"/>
    <w:rsid w:val="3D8E220A"/>
    <w:rsid w:val="3E1768EB"/>
    <w:rsid w:val="3ED76D29"/>
    <w:rsid w:val="40444940"/>
    <w:rsid w:val="40682937"/>
    <w:rsid w:val="407441CC"/>
    <w:rsid w:val="42E42CCB"/>
    <w:rsid w:val="42EE35DB"/>
    <w:rsid w:val="43322DCB"/>
    <w:rsid w:val="43B60E25"/>
    <w:rsid w:val="43DC3263"/>
    <w:rsid w:val="445676AA"/>
    <w:rsid w:val="44CC5134"/>
    <w:rsid w:val="44D324F7"/>
    <w:rsid w:val="44D70EFD"/>
    <w:rsid w:val="4536001D"/>
    <w:rsid w:val="45876B22"/>
    <w:rsid w:val="4616768B"/>
    <w:rsid w:val="462C3A2D"/>
    <w:rsid w:val="46D27A3E"/>
    <w:rsid w:val="47ED7291"/>
    <w:rsid w:val="49B91A00"/>
    <w:rsid w:val="49BE5E87"/>
    <w:rsid w:val="4A686320"/>
    <w:rsid w:val="4B1C1647"/>
    <w:rsid w:val="4B8C0A01"/>
    <w:rsid w:val="4C5F09D9"/>
    <w:rsid w:val="4C7166F5"/>
    <w:rsid w:val="4D1E3396"/>
    <w:rsid w:val="4D357738"/>
    <w:rsid w:val="4D5A40F4"/>
    <w:rsid w:val="4DDE46CE"/>
    <w:rsid w:val="4E113C23"/>
    <w:rsid w:val="4EA40C13"/>
    <w:rsid w:val="4EF0184B"/>
    <w:rsid w:val="4F1D75D8"/>
    <w:rsid w:val="4F2C1DF1"/>
    <w:rsid w:val="4FCC3EF9"/>
    <w:rsid w:val="50055358"/>
    <w:rsid w:val="503E2F33"/>
    <w:rsid w:val="50B30973"/>
    <w:rsid w:val="50DA6635"/>
    <w:rsid w:val="51280932"/>
    <w:rsid w:val="51A5377F"/>
    <w:rsid w:val="52711BCE"/>
    <w:rsid w:val="53183661"/>
    <w:rsid w:val="544640D3"/>
    <w:rsid w:val="54625C01"/>
    <w:rsid w:val="5475139F"/>
    <w:rsid w:val="54886D3A"/>
    <w:rsid w:val="54967355"/>
    <w:rsid w:val="54C2369C"/>
    <w:rsid w:val="554A487A"/>
    <w:rsid w:val="55571991"/>
    <w:rsid w:val="55B84EAE"/>
    <w:rsid w:val="55FD59A2"/>
    <w:rsid w:val="560A4CB8"/>
    <w:rsid w:val="56C675EA"/>
    <w:rsid w:val="56F426E4"/>
    <w:rsid w:val="57132F6C"/>
    <w:rsid w:val="576F457F"/>
    <w:rsid w:val="57A859DE"/>
    <w:rsid w:val="584D19EF"/>
    <w:rsid w:val="58BD1CA3"/>
    <w:rsid w:val="59311C62"/>
    <w:rsid w:val="599154FE"/>
    <w:rsid w:val="599C4B94"/>
    <w:rsid w:val="59BB1BC6"/>
    <w:rsid w:val="5A006E37"/>
    <w:rsid w:val="5A5D71D1"/>
    <w:rsid w:val="5B677683"/>
    <w:rsid w:val="5B987E52"/>
    <w:rsid w:val="5BD60FBC"/>
    <w:rsid w:val="5C761A3E"/>
    <w:rsid w:val="5CF21813"/>
    <w:rsid w:val="5DCF0D76"/>
    <w:rsid w:val="5E1636E9"/>
    <w:rsid w:val="5F006EEA"/>
    <w:rsid w:val="5F114C06"/>
    <w:rsid w:val="5FF81680"/>
    <w:rsid w:val="60397EEB"/>
    <w:rsid w:val="603F5678"/>
    <w:rsid w:val="60944D82"/>
    <w:rsid w:val="60B03BD2"/>
    <w:rsid w:val="6118535B"/>
    <w:rsid w:val="61931421"/>
    <w:rsid w:val="620C5868"/>
    <w:rsid w:val="621464F7"/>
    <w:rsid w:val="631F442B"/>
    <w:rsid w:val="6377033D"/>
    <w:rsid w:val="63FA5093"/>
    <w:rsid w:val="643D2685"/>
    <w:rsid w:val="64DF440C"/>
    <w:rsid w:val="65146E65"/>
    <w:rsid w:val="652D670A"/>
    <w:rsid w:val="6538251C"/>
    <w:rsid w:val="665A38F8"/>
    <w:rsid w:val="68434A9E"/>
    <w:rsid w:val="689E0B09"/>
    <w:rsid w:val="68E0459C"/>
    <w:rsid w:val="692A1518"/>
    <w:rsid w:val="693343A6"/>
    <w:rsid w:val="693578A9"/>
    <w:rsid w:val="696638FC"/>
    <w:rsid w:val="69B013F1"/>
    <w:rsid w:val="69D95E39"/>
    <w:rsid w:val="6A352CCF"/>
    <w:rsid w:val="6A5A3E08"/>
    <w:rsid w:val="6BA42B26"/>
    <w:rsid w:val="6BE53959"/>
    <w:rsid w:val="6BF43BAA"/>
    <w:rsid w:val="6CB94BEC"/>
    <w:rsid w:val="6E3D27EA"/>
    <w:rsid w:val="6F0B1F3E"/>
    <w:rsid w:val="6FE476A3"/>
    <w:rsid w:val="6FF10F37"/>
    <w:rsid w:val="6FF675BD"/>
    <w:rsid w:val="70977146"/>
    <w:rsid w:val="71263532"/>
    <w:rsid w:val="71C42137"/>
    <w:rsid w:val="71F80007"/>
    <w:rsid w:val="72B33FBD"/>
    <w:rsid w:val="72FD3138"/>
    <w:rsid w:val="7492574D"/>
    <w:rsid w:val="74B33703"/>
    <w:rsid w:val="74C85C27"/>
    <w:rsid w:val="75017085"/>
    <w:rsid w:val="7510601B"/>
    <w:rsid w:val="75757044"/>
    <w:rsid w:val="75D373DE"/>
    <w:rsid w:val="75DC7CED"/>
    <w:rsid w:val="75F52E16"/>
    <w:rsid w:val="760011A7"/>
    <w:rsid w:val="76101441"/>
    <w:rsid w:val="76271066"/>
    <w:rsid w:val="7684397E"/>
    <w:rsid w:val="7728668A"/>
    <w:rsid w:val="7762556B"/>
    <w:rsid w:val="77634581"/>
    <w:rsid w:val="785E6707"/>
    <w:rsid w:val="786F69A2"/>
    <w:rsid w:val="78C86137"/>
    <w:rsid w:val="7907149F"/>
    <w:rsid w:val="79626335"/>
    <w:rsid w:val="7A5B654D"/>
    <w:rsid w:val="7AC13CF3"/>
    <w:rsid w:val="7AC96B81"/>
    <w:rsid w:val="7B62387C"/>
    <w:rsid w:val="7B93404B"/>
    <w:rsid w:val="7BC4009E"/>
    <w:rsid w:val="7BD40338"/>
    <w:rsid w:val="7BF662EE"/>
    <w:rsid w:val="7C2F194B"/>
    <w:rsid w:val="7C4B59F8"/>
    <w:rsid w:val="7C6543A4"/>
    <w:rsid w:val="7CB62EA9"/>
    <w:rsid w:val="7CF03F88"/>
    <w:rsid w:val="7D337EF4"/>
    <w:rsid w:val="7DC50AE8"/>
    <w:rsid w:val="7EC7030B"/>
    <w:rsid w:val="7F8A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D37F9"/>
  <w15:docId w15:val="{C6C449F8-5200-4EE7-96A3-AE837604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jc w:val="both"/>
    </w:pPr>
    <w:rPr>
      <w:rFonts w:ascii="Calibri" w:hAnsi="Calibri"/>
      <w:kern w:val="2"/>
      <w:sz w:val="21"/>
      <w:szCs w:val="24"/>
      <w:lang w:eastAsia="zh-CN"/>
    </w:rPr>
  </w:style>
  <w:style w:type="paragraph" w:styleId="Heading1">
    <w:name w:val="heading 1"/>
    <w:basedOn w:val="Normal"/>
    <w:next w:val="Normal"/>
    <w:qFormat/>
    <w:rsid w:val="00F9150C"/>
    <w:pPr>
      <w:keepNext/>
      <w:spacing w:before="240" w:after="60"/>
      <w:outlineLvl w:val="0"/>
    </w:pPr>
    <w:rPr>
      <w:rFonts w:ascii="Cambria" w:eastAsia="Times New Roman" w:hAnsi="Cambria"/>
      <w:b/>
      <w:bCs/>
      <w:color w:val="262626" w:themeColor="text1" w:themeTint="D9"/>
      <w:kern w:val="32"/>
      <w:sz w:val="32"/>
      <w:szCs w:val="32"/>
    </w:rPr>
  </w:style>
  <w:style w:type="paragraph" w:styleId="Heading2">
    <w:name w:val="heading 2"/>
    <w:basedOn w:val="Normal"/>
    <w:next w:val="Normal"/>
    <w:qFormat/>
    <w:pPr>
      <w:keepNext/>
      <w:spacing w:before="240" w:after="60"/>
      <w:outlineLvl w:val="1"/>
    </w:pPr>
    <w:rPr>
      <w:rFonts w:eastAsia="Times New Roman"/>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29">
    <w:name w:val="emailstyle29"/>
    <w:rPr>
      <w:rFonts w:ascii="Calibri" w:hAnsi="Calibri" w:cs="Calibri" w:hint="default"/>
      <w:color w:val="auto"/>
    </w:rPr>
  </w:style>
  <w:style w:type="character" w:customStyle="1" w:styleId="emailstyle30">
    <w:name w:val="emailstyle30"/>
    <w:rPr>
      <w:rFonts w:ascii="Calibri" w:hAnsi="Calibri" w:cs="Calibri" w:hint="default"/>
      <w:color w:val="1F497D"/>
    </w:rPr>
  </w:style>
  <w:style w:type="character" w:customStyle="1" w:styleId="emailstyle24">
    <w:name w:val="emailstyle24"/>
    <w:rPr>
      <w:rFonts w:ascii="Calibri" w:hAnsi="Calibri" w:cs="Calibri" w:hint="default"/>
      <w:color w:val="1F497D"/>
    </w:rPr>
  </w:style>
  <w:style w:type="character" w:customStyle="1" w:styleId="Heading3Char">
    <w:name w:val="Heading 3 Char"/>
    <w:rPr>
      <w:rFonts w:ascii="Arial" w:hAnsi="Arial" w:cs="Arial"/>
      <w:b/>
    </w:rPr>
  </w:style>
  <w:style w:type="character" w:customStyle="1" w:styleId="Heading2Char">
    <w:name w:val="Heading 2 Char"/>
    <w:rPr>
      <w:rFonts w:ascii="Arial" w:hAnsi="Arial" w:cs="Arial" w:hint="default"/>
      <w:b/>
    </w:rPr>
  </w:style>
  <w:style w:type="character" w:customStyle="1" w:styleId="emailstyle19">
    <w:name w:val="emailstyle19"/>
    <w:rPr>
      <w:rFonts w:ascii="Calibri" w:hAnsi="Calibri" w:cs="Calibri" w:hint="default"/>
      <w:color w:val="1F497D"/>
    </w:rPr>
  </w:style>
  <w:style w:type="character" w:customStyle="1" w:styleId="BalloonTextChar1">
    <w:name w:val="Balloon Text Char1"/>
    <w:link w:val="BalloonText"/>
    <w:rPr>
      <w:rFonts w:ascii="Tahoma" w:hAnsi="Tahoma" w:cs="Tahoma"/>
      <w:kern w:val="2"/>
      <w:sz w:val="16"/>
      <w:szCs w:val="16"/>
      <w:lang w:eastAsia="zh-CN"/>
    </w:rPr>
  </w:style>
  <w:style w:type="character" w:customStyle="1" w:styleId="emailstyle31">
    <w:name w:val="emailstyle3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emailstyle22">
    <w:name w:val="emailstyle22"/>
    <w:rPr>
      <w:rFonts w:ascii="Calibri" w:hAnsi="Calibri" w:cs="Calibri" w:hint="default"/>
      <w:color w:val="1F497D"/>
    </w:rPr>
  </w:style>
  <w:style w:type="character" w:customStyle="1" w:styleId="emailstyle26">
    <w:name w:val="emailstyle26"/>
    <w:rPr>
      <w:rFonts w:ascii="Arial" w:hAnsi="Arial" w:cs="Arial" w:hint="default"/>
      <w:b w:val="0"/>
      <w:i w:val="0"/>
      <w:color w:val="1F497D"/>
    </w:rPr>
  </w:style>
  <w:style w:type="character" w:customStyle="1" w:styleId="BalloonTextChar">
    <w:name w:val="Balloon Text Char"/>
    <w:rPr>
      <w:rFonts w:ascii="Tahoma" w:eastAsia="Tahoma" w:hAnsi="Tahoma" w:cs="Tahoma" w:hint="default"/>
    </w:rPr>
  </w:style>
  <w:style w:type="character" w:customStyle="1" w:styleId="emailstyle25">
    <w:name w:val="emailstyle25"/>
    <w:rPr>
      <w:rFonts w:ascii="Arial" w:hAnsi="Arial" w:cs="Arial" w:hint="default"/>
      <w:b w:val="0"/>
      <w:i w:val="0"/>
      <w:color w:val="1F497D"/>
    </w:rPr>
  </w:style>
  <w:style w:type="character" w:customStyle="1" w:styleId="emailstyle28">
    <w:name w:val="emailstyle28"/>
    <w:rPr>
      <w:rFonts w:ascii="Calibri" w:hAnsi="Calibri" w:cs="Calibri" w:hint="default"/>
      <w:color w:val="1F497D"/>
    </w:rPr>
  </w:style>
  <w:style w:type="character" w:styleId="Hyperlink">
    <w:name w:val="Hyperlink"/>
    <w:uiPriority w:val="99"/>
    <w:rPr>
      <w:color w:val="0563C1"/>
      <w:u w:val="single"/>
    </w:rPr>
  </w:style>
  <w:style w:type="character" w:customStyle="1" w:styleId="emailstyle17">
    <w:name w:val="emailstyle17"/>
    <w:rPr>
      <w:rFonts w:ascii="Calibri" w:hAnsi="Calibri" w:cs="Calibri" w:hint="default"/>
      <w:color w:val="auto"/>
    </w:rPr>
  </w:style>
  <w:style w:type="character" w:customStyle="1" w:styleId="IndentTextChar">
    <w:name w:val="Indent Text Char"/>
    <w:rPr>
      <w:rFonts w:ascii="Arial" w:hAnsi="Arial" w:cs="Arial" w:hint="default"/>
    </w:rPr>
  </w:style>
  <w:style w:type="character" w:customStyle="1" w:styleId="Heading1Char">
    <w:name w:val="Heading 1 Char"/>
    <w:rPr>
      <w:rFonts w:ascii="Arial" w:hAnsi="Arial" w:cs="Arial" w:hint="default"/>
      <w:b/>
    </w:rPr>
  </w:style>
  <w:style w:type="character" w:customStyle="1" w:styleId="emailstyle23">
    <w:name w:val="emailstyle23"/>
    <w:rPr>
      <w:rFonts w:ascii="Arial" w:hAnsi="Arial" w:cs="Arial"/>
      <w:b w:val="0"/>
      <w:i w:val="0"/>
      <w:color w:val="1F497D"/>
    </w:rPr>
  </w:style>
  <w:style w:type="character" w:customStyle="1" w:styleId="emailstyle21">
    <w:name w:val="emailstyle21"/>
    <w:rPr>
      <w:rFonts w:ascii="Arial" w:hAnsi="Arial" w:cs="Arial" w:hint="default"/>
      <w:b w:val="0"/>
      <w:i w:val="0"/>
      <w:color w:val="1F497D"/>
    </w:rPr>
  </w:style>
  <w:style w:type="character" w:customStyle="1" w:styleId="emailstyle20">
    <w:name w:val="emailstyle20"/>
    <w:rPr>
      <w:rFonts w:ascii="Arial" w:hAnsi="Arial" w:cs="Arial"/>
      <w:b w:val="0"/>
      <w:i w:val="0"/>
      <w:color w:val="auto"/>
    </w:rPr>
  </w:style>
  <w:style w:type="character" w:styleId="FollowedHyperlink">
    <w:name w:val="FollowedHyperlink"/>
    <w:rPr>
      <w:color w:val="954F72"/>
      <w:u w:val="single"/>
    </w:rPr>
  </w:style>
  <w:style w:type="paragraph" w:styleId="TOC5">
    <w:name w:val="toc 5"/>
    <w:basedOn w:val="Normal"/>
    <w:next w:val="Normal"/>
    <w:pPr>
      <w:ind w:leftChars="800" w:left="1680"/>
    </w:pPr>
  </w:style>
  <w:style w:type="paragraph" w:styleId="TOC4">
    <w:name w:val="toc 4"/>
    <w:basedOn w:val="Normal"/>
    <w:next w:val="Normal"/>
    <w:pPr>
      <w:ind w:leftChars="600" w:left="1260"/>
    </w:pPr>
  </w:style>
  <w:style w:type="paragraph" w:styleId="TOC3">
    <w:name w:val="toc 3"/>
    <w:basedOn w:val="Normal"/>
    <w:next w:val="Normal"/>
    <w:pPr>
      <w:ind w:leftChars="400" w:left="840"/>
    </w:pPr>
  </w:style>
  <w:style w:type="paragraph" w:styleId="TOC9">
    <w:name w:val="toc 9"/>
    <w:basedOn w:val="Normal"/>
    <w:next w:val="Normal"/>
    <w:pPr>
      <w:ind w:leftChars="1600" w:left="3360"/>
    </w:pPr>
  </w:style>
  <w:style w:type="paragraph" w:styleId="BalloonText">
    <w:name w:val="Balloon Text"/>
    <w:basedOn w:val="Normal"/>
    <w:link w:val="BalloonTextChar1"/>
    <w:rPr>
      <w:rFonts w:ascii="Tahoma" w:hAnsi="Tahoma" w:cs="Tahoma"/>
      <w:sz w:val="16"/>
      <w:szCs w:val="16"/>
    </w:rPr>
  </w:style>
  <w:style w:type="paragraph" w:styleId="TOC2">
    <w:name w:val="toc 2"/>
    <w:basedOn w:val="Normal"/>
    <w:next w:val="Normal"/>
    <w:uiPriority w:val="39"/>
    <w:pPr>
      <w:ind w:leftChars="200" w:left="420"/>
    </w:pPr>
  </w:style>
  <w:style w:type="paragraph" w:styleId="TOC1">
    <w:name w:val="toc 1"/>
    <w:basedOn w:val="Normal"/>
    <w:next w:val="Normal"/>
    <w:uiPriority w:val="39"/>
  </w:style>
  <w:style w:type="paragraph" w:styleId="TOC7">
    <w:name w:val="toc 7"/>
    <w:basedOn w:val="Normal"/>
    <w:next w:val="Normal"/>
    <w:pPr>
      <w:ind w:leftChars="1200" w:left="2520"/>
    </w:pPr>
  </w:style>
  <w:style w:type="paragraph" w:styleId="TOC6">
    <w:name w:val="toc 6"/>
    <w:basedOn w:val="Normal"/>
    <w:next w:val="Normal"/>
    <w:pPr>
      <w:ind w:leftChars="1000" w:left="2100"/>
    </w:pPr>
  </w:style>
  <w:style w:type="paragraph" w:styleId="TOC8">
    <w:name w:val="toc 8"/>
    <w:basedOn w:val="Normal"/>
    <w:next w:val="Normal"/>
    <w:pPr>
      <w:ind w:leftChars="1400" w:left="2940"/>
    </w:pPr>
  </w:style>
  <w:style w:type="paragraph" w:styleId="ListParagraph">
    <w:name w:val="List Paragraph"/>
    <w:basedOn w:val="Normal"/>
    <w:uiPriority w:val="34"/>
    <w:qFormat/>
    <w:rsid w:val="00E63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401">
      <w:bodyDiv w:val="1"/>
      <w:marLeft w:val="0"/>
      <w:marRight w:val="0"/>
      <w:marTop w:val="0"/>
      <w:marBottom w:val="0"/>
      <w:divBdr>
        <w:top w:val="none" w:sz="0" w:space="0" w:color="auto"/>
        <w:left w:val="none" w:sz="0" w:space="0" w:color="auto"/>
        <w:bottom w:val="none" w:sz="0" w:space="0" w:color="auto"/>
        <w:right w:val="none" w:sz="0" w:space="0" w:color="auto"/>
      </w:divBdr>
    </w:div>
    <w:div w:id="557127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1EF0D.03A4CB80"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Srinivasn</dc:creator>
  <cp:lastModifiedBy>Janet Geyer</cp:lastModifiedBy>
  <cp:revision>4</cp:revision>
  <cp:lastPrinted>2016-07-30T00:53:00Z</cp:lastPrinted>
  <dcterms:created xsi:type="dcterms:W3CDTF">2016-09-07T18:46:00Z</dcterms:created>
  <dcterms:modified xsi:type="dcterms:W3CDTF">2016-09-07T20:05:00Z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