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7B050" w14:textId="357100AD" w:rsidR="006366DC" w:rsidRDefault="006366DC" w:rsidP="006366DC">
      <w:pPr>
        <w:pStyle w:val="Heading1"/>
        <w:jc w:val="center"/>
        <w:rPr>
          <w:b/>
          <w:bCs/>
        </w:rPr>
      </w:pPr>
      <w:r w:rsidRPr="005F7F47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2C643D3" wp14:editId="12C89E63">
            <wp:simplePos x="0" y="0"/>
            <wp:positionH relativeFrom="margin">
              <wp:posOffset>1691640</wp:posOffset>
            </wp:positionH>
            <wp:positionV relativeFrom="paragraph">
              <wp:posOffset>53340</wp:posOffset>
            </wp:positionV>
            <wp:extent cx="2703257" cy="1009650"/>
            <wp:effectExtent l="0" t="0" r="190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257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FDF">
        <w:rPr>
          <w:b/>
          <w:bCs/>
        </w:rPr>
        <w:t>Using the 6mm Aperture/Receiver Ring to take T</w:t>
      </w:r>
      <w:r>
        <w:rPr>
          <w:b/>
          <w:bCs/>
        </w:rPr>
        <w:t xml:space="preserve">otal Transmittance </w:t>
      </w:r>
      <w:r w:rsidRPr="008C7FDF">
        <w:rPr>
          <w:b/>
          <w:bCs/>
        </w:rPr>
        <w:t>Measurements on a Sample</w:t>
      </w:r>
    </w:p>
    <w:p w14:paraId="5673C15B" w14:textId="77777777" w:rsidR="006366DC" w:rsidRPr="008C7FDF" w:rsidRDefault="006366DC" w:rsidP="006366DC">
      <w:pPr>
        <w:jc w:val="center"/>
      </w:pPr>
      <w:r>
        <w:t>D02-1019-350</w:t>
      </w:r>
    </w:p>
    <w:p w14:paraId="31CDA729" w14:textId="77777777" w:rsidR="006366DC" w:rsidRDefault="006366DC" w:rsidP="006366DC">
      <w:r w:rsidRPr="00DD723C">
        <w:rPr>
          <w:b/>
          <w:bCs/>
        </w:rPr>
        <w:t>Instrument</w:t>
      </w:r>
      <w:r>
        <w:t>:  USVIS, USPRO</w:t>
      </w:r>
    </w:p>
    <w:p w14:paraId="3992A756" w14:textId="77777777" w:rsidR="006366DC" w:rsidRDefault="006366DC" w:rsidP="006366DC">
      <w:r w:rsidRPr="00DD723C">
        <w:rPr>
          <w:b/>
          <w:bCs/>
        </w:rPr>
        <w:t>Requires</w:t>
      </w:r>
      <w:r>
        <w:t>: D02-1019-305 Receiver Ring Assembly, installed</w:t>
      </w:r>
    </w:p>
    <w:p w14:paraId="4A2A671B" w14:textId="77777777" w:rsidR="006366DC" w:rsidRPr="008C7FDF" w:rsidRDefault="006366DC" w:rsidP="006366DC">
      <w:pPr>
        <w:spacing w:before="120" w:after="120" w:line="240" w:lineRule="auto"/>
        <w:ind w:left="1008" w:hanging="1008"/>
      </w:pPr>
      <w:r w:rsidRPr="005F7F47">
        <w:rPr>
          <w:b/>
          <w:bCs/>
          <w:szCs w:val="24"/>
        </w:rPr>
        <w:t xml:space="preserve">Description: </w:t>
      </w:r>
      <w:r>
        <w:rPr>
          <w:szCs w:val="24"/>
        </w:rPr>
        <w:t>D02-1019-350 is installed on the sphere to reduce the aperture size for Total Transmittance measurements</w:t>
      </w:r>
      <w:r w:rsidRPr="005F7F47">
        <w:rPr>
          <w:szCs w:val="24"/>
        </w:rPr>
        <w:t xml:space="preserve">. It </w:t>
      </w:r>
      <w:r>
        <w:rPr>
          <w:szCs w:val="24"/>
        </w:rPr>
        <w:t>requires</w:t>
      </w:r>
      <w:r w:rsidRPr="005F7F47">
        <w:rPr>
          <w:szCs w:val="24"/>
        </w:rPr>
        <w:t xml:space="preserve"> </w:t>
      </w:r>
      <w:r>
        <w:rPr>
          <w:szCs w:val="24"/>
        </w:rPr>
        <w:t>the installation of the Receiver Ring Assembly which holds the 6mm</w:t>
      </w:r>
      <w:r>
        <w:t xml:space="preserve"> </w:t>
      </w:r>
      <w:r w:rsidRPr="005F7F47">
        <w:rPr>
          <w:szCs w:val="24"/>
        </w:rPr>
        <w:t>aperture magnetically</w:t>
      </w:r>
      <w:r>
        <w:rPr>
          <w:szCs w:val="24"/>
        </w:rPr>
        <w:t>.</w:t>
      </w:r>
    </w:p>
    <w:p w14:paraId="57C260FB" w14:textId="77777777" w:rsidR="006366DC" w:rsidRPr="00637F12" w:rsidRDefault="006366DC" w:rsidP="006366DC">
      <w:pPr>
        <w:pStyle w:val="Heading2"/>
      </w:pPr>
      <w:r w:rsidRPr="008C7FDF">
        <w:t>STANDARDIZATION</w:t>
      </w:r>
    </w:p>
    <w:p w14:paraId="570F65C8" w14:textId="77777777" w:rsidR="006366DC" w:rsidRDefault="006366DC" w:rsidP="006366DC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 xml:space="preserve">In EasyMatch QC, go to </w:t>
      </w:r>
      <w:r w:rsidRPr="00CF5A83">
        <w:rPr>
          <w:b/>
          <w:bCs/>
          <w:i/>
          <w:iCs/>
        </w:rPr>
        <w:t>SENSOR &gt; ADD SENSOR</w:t>
      </w:r>
      <w:r>
        <w:t xml:space="preserve"> to select your sensor.</w:t>
      </w:r>
    </w:p>
    <w:p w14:paraId="04C09961" w14:textId="77777777" w:rsidR="006366DC" w:rsidRDefault="006366DC" w:rsidP="006366DC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 xml:space="preserve">Go to </w:t>
      </w:r>
      <w:r w:rsidRPr="00CF5A83">
        <w:rPr>
          <w:b/>
          <w:bCs/>
          <w:i/>
          <w:iCs/>
        </w:rPr>
        <w:t>SENSOR &gt; STANDARDIZE</w:t>
      </w:r>
      <w:r>
        <w:t xml:space="preserve"> and select </w:t>
      </w:r>
      <w:r w:rsidRPr="00CF5A83">
        <w:rPr>
          <w:b/>
          <w:bCs/>
        </w:rPr>
        <w:t>TOTAL TRANSMITTANCE MODE</w:t>
      </w:r>
      <w:r>
        <w:t xml:space="preserve"> (TTRAN) for USVIS or USPRO.</w:t>
      </w:r>
    </w:p>
    <w:p w14:paraId="64A046BA" w14:textId="77777777" w:rsidR="001D0EA6" w:rsidRDefault="006366DC" w:rsidP="006366DC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 xml:space="preserve">To standardize for Total Transmittance measurements and set the bottom-of-scale, place the light blocker card </w:t>
      </w:r>
      <w:r w:rsidR="001D0EA6">
        <w:t>in</w:t>
      </w:r>
      <w:r>
        <w:t xml:space="preserve"> the transmittance </w:t>
      </w:r>
      <w:r w:rsidR="001D0EA6">
        <w:t>compartment</w:t>
      </w:r>
      <w:r>
        <w:t xml:space="preserve"> at the sphere side. </w:t>
      </w:r>
    </w:p>
    <w:p w14:paraId="6BC8CB0B" w14:textId="745E66F2" w:rsidR="006366DC" w:rsidRPr="00575D70" w:rsidRDefault="006366DC" w:rsidP="001D0EA6">
      <w:pPr>
        <w:pStyle w:val="ListParagraph"/>
        <w:spacing w:before="120" w:after="120" w:line="240" w:lineRule="auto"/>
        <w:contextualSpacing w:val="0"/>
      </w:pPr>
      <w:r>
        <w:t>The transmittance compartment door may be closed or left open. Follow the software prompts.</w:t>
      </w:r>
    </w:p>
    <w:p w14:paraId="112256AA" w14:textId="3A2B7D79" w:rsidR="006366DC" w:rsidRDefault="006366DC" w:rsidP="006366DC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 xml:space="preserve">To set the top-of-scale, place the white tile at the reflectance port with the Transmittance </w:t>
      </w:r>
      <w:r w:rsidR="001D0EA6">
        <w:t xml:space="preserve">compartment </w:t>
      </w:r>
      <w:r>
        <w:t xml:space="preserve">closed. </w:t>
      </w:r>
      <w:r w:rsidRPr="00015B32">
        <w:t xml:space="preserve">When taking transmittance measurements, the calibrated white tile used during standardization must be kept at the reflectance port. </w:t>
      </w:r>
    </w:p>
    <w:p w14:paraId="6D63805C" w14:textId="77777777" w:rsidR="006366DC" w:rsidRDefault="006366DC" w:rsidP="006366DC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>The instrument is now ready to take measurements in TTRAN.</w:t>
      </w:r>
    </w:p>
    <w:p w14:paraId="1D404A00" w14:textId="77777777" w:rsidR="006366DC" w:rsidRPr="00575D70" w:rsidRDefault="006366DC" w:rsidP="006366DC">
      <w:pPr>
        <w:pStyle w:val="Heading2"/>
        <w:spacing w:before="120" w:line="240" w:lineRule="auto"/>
      </w:pPr>
      <w:r>
        <w:lastRenderedPageBreak/>
        <w:t>MEASURING</w:t>
      </w:r>
      <w:r w:rsidRPr="00637F12">
        <w:t xml:space="preserve"> SAMPLES</w:t>
      </w:r>
      <w:r w:rsidRPr="00CF5A83">
        <w:t xml:space="preserve"> </w:t>
      </w:r>
    </w:p>
    <w:p w14:paraId="4663B026" w14:textId="77777777" w:rsidR="006366DC" w:rsidRDefault="006366DC" w:rsidP="006366DC">
      <w:pPr>
        <w:pStyle w:val="ListParagraph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F13527" wp14:editId="4890F016">
            <wp:simplePos x="0" y="0"/>
            <wp:positionH relativeFrom="margin">
              <wp:posOffset>2125980</wp:posOffset>
            </wp:positionH>
            <wp:positionV relativeFrom="paragraph">
              <wp:posOffset>563245</wp:posOffset>
            </wp:positionV>
            <wp:extent cx="2065020" cy="1729740"/>
            <wp:effectExtent l="0" t="0" r="0" b="381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0" t="11000" r="18250" b="13333"/>
                    <a:stretch/>
                  </pic:blipFill>
                  <pic:spPr bwMode="auto">
                    <a:xfrm>
                      <a:off x="0" y="0"/>
                      <a:ext cx="206502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Insert the magnetic 6mm aperture (D02-1019-350) into the holder and place on the sphere receiver ring.  </w:t>
      </w:r>
    </w:p>
    <w:p w14:paraId="79698CF3" w14:textId="77777777" w:rsidR="006366DC" w:rsidRDefault="006366DC" w:rsidP="006366DC">
      <w:pPr>
        <w:pStyle w:val="ListParagraph"/>
      </w:pPr>
    </w:p>
    <w:p w14:paraId="61513CBD" w14:textId="77777777" w:rsidR="006366DC" w:rsidRPr="006A5E8E" w:rsidRDefault="006366DC" w:rsidP="006366DC">
      <w:pPr>
        <w:pStyle w:val="ListParagraph"/>
        <w:jc w:val="center"/>
        <w:rPr>
          <w:b/>
          <w:bCs/>
          <w:i/>
          <w:szCs w:val="24"/>
        </w:rPr>
      </w:pPr>
      <w:r w:rsidRPr="006A5E8E">
        <w:rPr>
          <w:b/>
          <w:bCs/>
          <w:i/>
          <w:szCs w:val="24"/>
        </w:rPr>
        <w:t xml:space="preserve">Note: This aperture has an opening that is smaller than the usual </w:t>
      </w:r>
      <w:r>
        <w:rPr>
          <w:b/>
          <w:bCs/>
          <w:i/>
          <w:szCs w:val="24"/>
        </w:rPr>
        <w:t>transmittance</w:t>
      </w:r>
      <w:r w:rsidRPr="006A5E8E">
        <w:rPr>
          <w:b/>
          <w:bCs/>
          <w:i/>
          <w:szCs w:val="24"/>
        </w:rPr>
        <w:t xml:space="preserve"> port opening. Performance specifications (i.e. Factory-supplied color values, stability, accuracy, etc.) are based on the standard transmission port opening. These specifications will not be met with the aperture in place.</w:t>
      </w:r>
    </w:p>
    <w:p w14:paraId="0493FF3F" w14:textId="77777777" w:rsidR="006366DC" w:rsidRDefault="006366DC" w:rsidP="006366DC">
      <w:pPr>
        <w:pStyle w:val="ListParagraph"/>
      </w:pPr>
    </w:p>
    <w:p w14:paraId="3CB3CC88" w14:textId="77777777" w:rsidR="006366DC" w:rsidRDefault="006366DC" w:rsidP="006366DC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</w:pPr>
      <w:r>
        <w:t>In EasyMatch QC, set up the measurement screen to read the desired color scale, illuminant and observer.</w:t>
      </w:r>
    </w:p>
    <w:p w14:paraId="58BA6388" w14:textId="702219DA" w:rsidR="006366DC" w:rsidRDefault="006366DC" w:rsidP="006366DC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</w:pPr>
      <w:r>
        <w:t xml:space="preserve">Place the sample to be measured in the transmittance compartment making sure that the area of the sample to be measured faces the </w:t>
      </w:r>
      <w:r w:rsidR="007A1149">
        <w:t>aperture.</w:t>
      </w:r>
      <w:bookmarkStart w:id="0" w:name="_GoBack"/>
      <w:bookmarkEnd w:id="0"/>
    </w:p>
    <w:p w14:paraId="0189485A" w14:textId="77777777" w:rsidR="006366DC" w:rsidRDefault="006366DC" w:rsidP="006366DC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</w:pPr>
      <w:r>
        <w:t xml:space="preserve">Take a reading using the sample button or </w:t>
      </w:r>
      <w:r w:rsidRPr="008C7FDF">
        <w:rPr>
          <w:b/>
          <w:bCs/>
          <w:i/>
          <w:iCs/>
        </w:rPr>
        <w:t>MEASUREMENTS &gt; SAMPLE</w:t>
      </w:r>
      <w:r>
        <w:t>.</w:t>
      </w:r>
    </w:p>
    <w:p w14:paraId="0AA96669" w14:textId="77777777" w:rsidR="006366DC" w:rsidRDefault="006366DC" w:rsidP="006366DC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noProof/>
          <w:szCs w:val="24"/>
        </w:rPr>
      </w:pPr>
      <w:r>
        <w:rPr>
          <w:noProof/>
          <w:szCs w:val="24"/>
        </w:rPr>
        <w:t>Rotate the sample and read it at least one more time. Average the multiple color readings for a single measurement representing its color (</w:t>
      </w:r>
      <w:r w:rsidRPr="006A5E8E">
        <w:rPr>
          <w:b/>
          <w:bCs/>
          <w:i/>
          <w:iCs/>
          <w:noProof/>
          <w:szCs w:val="24"/>
        </w:rPr>
        <w:t>MEASUREMENTS &gt; AVERAGE</w:t>
      </w:r>
      <w:r>
        <w:rPr>
          <w:noProof/>
          <w:szCs w:val="24"/>
        </w:rPr>
        <w:t>). Averaging multiple readings with rotation between readings minimizes measurement variation associated with non-uniformity or texture.</w:t>
      </w:r>
    </w:p>
    <w:p w14:paraId="1FCA8916" w14:textId="77777777" w:rsidR="006366DC" w:rsidRDefault="006366DC" w:rsidP="006366DC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noProof/>
          <w:szCs w:val="24"/>
        </w:rPr>
      </w:pPr>
      <w:r>
        <w:rPr>
          <w:noProof/>
          <w:szCs w:val="24"/>
        </w:rPr>
        <w:t>Record the average color values.</w:t>
      </w:r>
    </w:p>
    <w:p w14:paraId="37F9E626" w14:textId="77777777" w:rsidR="006366DC" w:rsidRDefault="006366DC" w:rsidP="006366DC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</w:pPr>
      <w:r>
        <w:t>With small samples, it is recommended to look at color difference using a Sample vs a Standard instead of absolute readings.  Difference measurements show excellent repeatability.</w:t>
      </w:r>
    </w:p>
    <w:p w14:paraId="08FF1723" w14:textId="77777777" w:rsidR="006366DC" w:rsidRPr="006A5E8E" w:rsidRDefault="006366DC" w:rsidP="006366DC">
      <w:pPr>
        <w:ind w:left="720" w:right="720"/>
        <w:jc w:val="center"/>
        <w:rPr>
          <w:b/>
          <w:bCs/>
          <w:i/>
          <w:iCs/>
          <w:noProof/>
          <w:szCs w:val="24"/>
        </w:rPr>
      </w:pPr>
      <w:r w:rsidRPr="006A5E8E">
        <w:rPr>
          <w:b/>
          <w:bCs/>
          <w:i/>
          <w:iCs/>
          <w:szCs w:val="24"/>
        </w:rPr>
        <w:t>Note: if this is the first time using EZMQC software, please refer to EasyMatch QC user Manual.</w:t>
      </w:r>
    </w:p>
    <w:p w14:paraId="4C1DA960" w14:textId="2DC8B0FC" w:rsidR="00E93E0E" w:rsidRDefault="00E93E0E"/>
    <w:sectPr w:rsidR="00E93E0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296E2" w14:textId="77777777" w:rsidR="000133BB" w:rsidRDefault="000133BB" w:rsidP="006366DC">
      <w:pPr>
        <w:spacing w:after="0" w:line="240" w:lineRule="auto"/>
      </w:pPr>
      <w:r>
        <w:separator/>
      </w:r>
    </w:p>
  </w:endnote>
  <w:endnote w:type="continuationSeparator" w:id="0">
    <w:p w14:paraId="2E691545" w14:textId="77777777" w:rsidR="000133BB" w:rsidRDefault="000133BB" w:rsidP="0063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9A226" w14:textId="77777777" w:rsidR="000133BB" w:rsidRDefault="000133BB" w:rsidP="006366DC">
      <w:pPr>
        <w:spacing w:after="0" w:line="240" w:lineRule="auto"/>
      </w:pPr>
      <w:r>
        <w:separator/>
      </w:r>
    </w:p>
  </w:footnote>
  <w:footnote w:type="continuationSeparator" w:id="0">
    <w:p w14:paraId="240CAC86" w14:textId="77777777" w:rsidR="000133BB" w:rsidRDefault="000133BB" w:rsidP="0063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CB436" w14:textId="148682E5" w:rsidR="006366DC" w:rsidRDefault="006366DC" w:rsidP="006366DC">
    <w:pPr>
      <w:pStyle w:val="Header"/>
      <w:jc w:val="right"/>
    </w:pPr>
    <w:r>
      <w:t>4/7/2020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061D8"/>
    <w:multiLevelType w:val="hybridMultilevel"/>
    <w:tmpl w:val="67F82AE8"/>
    <w:lvl w:ilvl="0" w:tplc="03623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62FF7"/>
    <w:multiLevelType w:val="hybridMultilevel"/>
    <w:tmpl w:val="E8B29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DC"/>
    <w:rsid w:val="000133BB"/>
    <w:rsid w:val="001D0EA6"/>
    <w:rsid w:val="005D1C79"/>
    <w:rsid w:val="006366DC"/>
    <w:rsid w:val="007A1149"/>
    <w:rsid w:val="00E93E0E"/>
    <w:rsid w:val="00F4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B7290"/>
  <w15:chartTrackingRefBased/>
  <w15:docId w15:val="{A711C5A9-3BE6-4230-B804-645A3D7B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366D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66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6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66DC"/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366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6D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36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6D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7df77834-62b9-45df-86fb-17cc184ab90c@namprd16.prod.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Geyer</dc:creator>
  <cp:keywords/>
  <dc:description/>
  <cp:lastModifiedBy>Ilham Bouzit</cp:lastModifiedBy>
  <cp:revision>2</cp:revision>
  <dcterms:created xsi:type="dcterms:W3CDTF">2020-04-07T16:05:00Z</dcterms:created>
  <dcterms:modified xsi:type="dcterms:W3CDTF">2020-04-07T16:05:00Z</dcterms:modified>
</cp:coreProperties>
</file>